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BCE35F" w14:textId="43C6646F" w:rsidR="00D84068" w:rsidRPr="003179F9" w:rsidRDefault="00E84E78" w:rsidP="00D84068">
      <w:pPr>
        <w:rPr>
          <w:b/>
          <w:bCs/>
          <w:sz w:val="32"/>
          <w:szCs w:val="32"/>
        </w:rPr>
      </w:pPr>
      <w:r>
        <w:rPr>
          <w:b/>
          <w:bCs/>
          <w:sz w:val="32"/>
          <w:szCs w:val="32"/>
        </w:rPr>
        <w:t>202</w:t>
      </w:r>
      <w:r w:rsidR="009F430B">
        <w:rPr>
          <w:b/>
          <w:bCs/>
          <w:sz w:val="32"/>
          <w:szCs w:val="32"/>
        </w:rPr>
        <w:t>4</w:t>
      </w:r>
      <w:r w:rsidRPr="003179F9">
        <w:rPr>
          <w:b/>
          <w:bCs/>
          <w:sz w:val="32"/>
          <w:szCs w:val="32"/>
        </w:rPr>
        <w:t xml:space="preserve"> </w:t>
      </w:r>
      <w:r w:rsidR="00D84068" w:rsidRPr="003179F9">
        <w:rPr>
          <w:b/>
          <w:bCs/>
          <w:sz w:val="32"/>
          <w:szCs w:val="32"/>
        </w:rPr>
        <w:t>Supplement to the Virginia Torts Case Finder</w:t>
      </w:r>
    </w:p>
    <w:p w14:paraId="2A6B7D78" w14:textId="77777777" w:rsidR="00D84068" w:rsidRPr="003179F9" w:rsidRDefault="00D84068" w:rsidP="00D84068">
      <w:pPr>
        <w:rPr>
          <w:b/>
          <w:bCs/>
          <w:sz w:val="32"/>
          <w:szCs w:val="32"/>
        </w:rPr>
      </w:pPr>
      <w:r w:rsidRPr="003179F9">
        <w:rPr>
          <w:b/>
          <w:bCs/>
          <w:sz w:val="32"/>
          <w:szCs w:val="32"/>
        </w:rPr>
        <w:t>5</w:t>
      </w:r>
      <w:r w:rsidRPr="003179F9">
        <w:rPr>
          <w:b/>
          <w:bCs/>
          <w:sz w:val="32"/>
          <w:szCs w:val="32"/>
          <w:vertAlign w:val="superscript"/>
        </w:rPr>
        <w:t>th</w:t>
      </w:r>
      <w:r w:rsidRPr="003179F9">
        <w:rPr>
          <w:b/>
          <w:bCs/>
          <w:sz w:val="32"/>
          <w:szCs w:val="32"/>
        </w:rPr>
        <w:t xml:space="preserve"> Edition</w:t>
      </w:r>
    </w:p>
    <w:p w14:paraId="78B922C8" w14:textId="77777777" w:rsidR="00D84068" w:rsidRDefault="00D84068" w:rsidP="00D84068"/>
    <w:p w14:paraId="717849B7" w14:textId="77777777" w:rsidR="00D84068" w:rsidRDefault="00D84068" w:rsidP="00D84068"/>
    <w:p w14:paraId="2EB0E373" w14:textId="77777777" w:rsidR="00D84068" w:rsidRDefault="00D84068" w:rsidP="00D84068"/>
    <w:p w14:paraId="531270E4" w14:textId="37BF4344" w:rsidR="00D84068" w:rsidRDefault="00D84068" w:rsidP="009E1B17">
      <w:r w:rsidRPr="009E1B17">
        <w:t xml:space="preserve">This supplement is current </w:t>
      </w:r>
      <w:r w:rsidR="00165098" w:rsidRPr="009E1B17">
        <w:t xml:space="preserve">for cases through </w:t>
      </w:r>
      <w:r w:rsidR="009E1B17">
        <w:t>302 Va. 387 and 80 Va. App. 483</w:t>
      </w:r>
    </w:p>
    <w:p w14:paraId="0581CAED" w14:textId="77777777" w:rsidR="00D84068" w:rsidRDefault="00D84068" w:rsidP="00D84068"/>
    <w:p w14:paraId="48FDDFF4" w14:textId="2E47C1B2" w:rsidR="00D84068" w:rsidRDefault="00D84068">
      <w:pPr>
        <w:rPr>
          <w:color w:val="231F20"/>
          <w:sz w:val="40"/>
          <w:szCs w:val="40"/>
        </w:rPr>
      </w:pPr>
      <w:r>
        <w:rPr>
          <w:b/>
          <w:bCs/>
          <w:color w:val="231F20"/>
        </w:rPr>
        <w:br w:type="page"/>
      </w:r>
    </w:p>
    <w:p w14:paraId="678A5B7B" w14:textId="77D8889D" w:rsidR="009910CD" w:rsidRDefault="00FC2690">
      <w:pPr>
        <w:pStyle w:val="Heading1"/>
        <w:spacing w:before="176" w:line="328" w:lineRule="auto"/>
        <w:ind w:left="2508" w:firstLine="1378"/>
      </w:pPr>
      <w:r>
        <w:rPr>
          <w:color w:val="231F20"/>
        </w:rPr>
        <w:lastRenderedPageBreak/>
        <w:t>Chapter 1 GENERAL PRINCIPLES</w:t>
      </w:r>
    </w:p>
    <w:p w14:paraId="41E4616A" w14:textId="77777777" w:rsidR="009910CD" w:rsidRDefault="00FC2690" w:rsidP="00D93798">
      <w:pPr>
        <w:pStyle w:val="Heading4"/>
        <w:tabs>
          <w:tab w:val="left" w:pos="720"/>
        </w:tabs>
        <w:spacing w:before="0" w:line="241" w:lineRule="exact"/>
        <w:ind w:left="0"/>
      </w:pPr>
      <w:r>
        <w:rPr>
          <w:color w:val="231F20"/>
        </w:rPr>
        <w:t>§</w:t>
      </w:r>
      <w:r>
        <w:rPr>
          <w:color w:val="231F20"/>
          <w:spacing w:val="-2"/>
        </w:rPr>
        <w:t xml:space="preserve"> </w:t>
      </w:r>
      <w:r>
        <w:rPr>
          <w:color w:val="231F20"/>
        </w:rPr>
        <w:t>1.06</w:t>
      </w:r>
      <w:r>
        <w:rPr>
          <w:color w:val="231F20"/>
        </w:rPr>
        <w:tab/>
        <w:t>Contribution</w:t>
      </w:r>
    </w:p>
    <w:p w14:paraId="3A41860C" w14:textId="19C6A46A" w:rsidR="009A78B1" w:rsidRDefault="009A78B1" w:rsidP="009A78B1">
      <w:pPr>
        <w:tabs>
          <w:tab w:val="left" w:pos="720"/>
        </w:tabs>
        <w:spacing w:before="141" w:line="250" w:lineRule="exact"/>
        <w:ind w:left="720" w:right="90"/>
      </w:pPr>
      <w:r>
        <w:rPr>
          <w:color w:val="231F20"/>
        </w:rPr>
        <w:t>2019—</w:t>
      </w:r>
      <w:r>
        <w:rPr>
          <w:i/>
          <w:color w:val="231F20"/>
        </w:rPr>
        <w:t>Nationwide v. Erie</w:t>
      </w:r>
      <w:r>
        <w:rPr>
          <w:color w:val="231F20"/>
        </w:rPr>
        <w:t xml:space="preserve">, </w:t>
      </w:r>
      <w:r w:rsidR="000059BC">
        <w:rPr>
          <w:color w:val="231F20"/>
        </w:rPr>
        <w:t>297</w:t>
      </w:r>
      <w:r>
        <w:rPr>
          <w:color w:val="231F20"/>
        </w:rPr>
        <w:t xml:space="preserve"> Va. </w:t>
      </w:r>
      <w:r w:rsidR="000059BC">
        <w:rPr>
          <w:color w:val="231F20"/>
        </w:rPr>
        <w:t>455</w:t>
      </w:r>
      <w:r>
        <w:rPr>
          <w:color w:val="231F20"/>
        </w:rPr>
        <w:t xml:space="preserve">, </w:t>
      </w:r>
      <w:r w:rsidR="000059BC">
        <w:rPr>
          <w:color w:val="231F20"/>
        </w:rPr>
        <w:t>829</w:t>
      </w:r>
      <w:r>
        <w:rPr>
          <w:color w:val="231F20"/>
        </w:rPr>
        <w:t xml:space="preserve"> S.E.2d </w:t>
      </w:r>
      <w:r w:rsidR="000059BC">
        <w:rPr>
          <w:color w:val="231F20"/>
        </w:rPr>
        <w:t>731</w:t>
      </w:r>
      <w:r>
        <w:rPr>
          <w:color w:val="231F20"/>
        </w:rPr>
        <w:t>.</w:t>
      </w:r>
    </w:p>
    <w:p w14:paraId="7EC0406A" w14:textId="477008CD" w:rsidR="009A78B1" w:rsidRPr="00527666" w:rsidRDefault="000059BC" w:rsidP="009A78B1">
      <w:pPr>
        <w:pStyle w:val="BodyText"/>
        <w:spacing w:before="120" w:after="120"/>
        <w:ind w:left="1440"/>
        <w:jc w:val="both"/>
        <w:rPr>
          <w:color w:val="231F20"/>
        </w:rPr>
      </w:pPr>
      <w:r>
        <w:rPr>
          <w:color w:val="231F20"/>
        </w:rPr>
        <w:t xml:space="preserve">Case involves dispute between insurer for driver’s employer and vehicle owner’s insurer and right of contribution.  The insurers for the employer are entitled to seek equitable contribution.  The concept is more fully discussed within the context of the case.  </w:t>
      </w:r>
    </w:p>
    <w:p w14:paraId="7179F047" w14:textId="77777777" w:rsidR="009910CD" w:rsidRDefault="00FC2690" w:rsidP="00BD498B">
      <w:pPr>
        <w:tabs>
          <w:tab w:val="left" w:pos="720"/>
        </w:tabs>
        <w:spacing w:before="141" w:line="250" w:lineRule="exact"/>
        <w:ind w:left="720" w:right="90"/>
      </w:pPr>
      <w:r>
        <w:rPr>
          <w:color w:val="231F20"/>
        </w:rPr>
        <w:t>2010—</w:t>
      </w:r>
      <w:r>
        <w:rPr>
          <w:i/>
          <w:color w:val="231F20"/>
        </w:rPr>
        <w:t>City of Alexandria v. J-W Enterprises, Inc.</w:t>
      </w:r>
      <w:r>
        <w:rPr>
          <w:color w:val="231F20"/>
        </w:rPr>
        <w:t>, 279 Va. 711, 691 S.E.2d 769.</w:t>
      </w:r>
    </w:p>
    <w:p w14:paraId="6E03CCA6" w14:textId="77777777" w:rsidR="009910CD" w:rsidRPr="00527666" w:rsidRDefault="00FC2690" w:rsidP="00CB4A05">
      <w:pPr>
        <w:pStyle w:val="BodyText"/>
        <w:spacing w:before="120" w:after="120"/>
        <w:ind w:left="1440"/>
        <w:jc w:val="both"/>
        <w:rPr>
          <w:color w:val="231F20"/>
        </w:rPr>
      </w:pPr>
      <w:r>
        <w:rPr>
          <w:color w:val="231F20"/>
        </w:rPr>
        <w:t xml:space="preserve">Police </w:t>
      </w:r>
      <w:r w:rsidRPr="00527666">
        <w:rPr>
          <w:color w:val="231F20"/>
        </w:rPr>
        <w:t xml:space="preserve">officer, </w:t>
      </w:r>
      <w:r>
        <w:rPr>
          <w:color w:val="231F20"/>
        </w:rPr>
        <w:t xml:space="preserve">while working for a restaurant, follows patrons out of restaurant when they did not </w:t>
      </w:r>
      <w:r w:rsidRPr="00527666">
        <w:rPr>
          <w:color w:val="231F20"/>
        </w:rPr>
        <w:t xml:space="preserve">pay. </w:t>
      </w:r>
      <w:r>
        <w:rPr>
          <w:color w:val="231F20"/>
        </w:rPr>
        <w:t xml:space="preserve">Patrons then enter car and drive car towards </w:t>
      </w:r>
      <w:r w:rsidRPr="00527666">
        <w:rPr>
          <w:color w:val="231F20"/>
        </w:rPr>
        <w:t xml:space="preserve">officer </w:t>
      </w:r>
      <w:r>
        <w:rPr>
          <w:color w:val="231F20"/>
        </w:rPr>
        <w:t xml:space="preserve">who believes that they have then committed a misdemeanor and fires at the vehicle. </w:t>
      </w:r>
      <w:r w:rsidRPr="00C97952">
        <w:rPr>
          <w:color w:val="231F20"/>
        </w:rPr>
        <w:t xml:space="preserve">City, </w:t>
      </w:r>
      <w:r>
        <w:rPr>
          <w:color w:val="231F20"/>
        </w:rPr>
        <w:t xml:space="preserve">in attempting to seek contribution from restaurant for actions of police </w:t>
      </w:r>
      <w:r w:rsidRPr="00527666">
        <w:rPr>
          <w:color w:val="231F20"/>
        </w:rPr>
        <w:t xml:space="preserve">officer </w:t>
      </w:r>
      <w:r>
        <w:rPr>
          <w:color w:val="231F20"/>
        </w:rPr>
        <w:t xml:space="preserve">acting as a restaurant employee is barred from contribution because the </w:t>
      </w:r>
      <w:r w:rsidRPr="00527666">
        <w:rPr>
          <w:color w:val="231F20"/>
        </w:rPr>
        <w:t xml:space="preserve">officer </w:t>
      </w:r>
      <w:r>
        <w:rPr>
          <w:color w:val="231F20"/>
        </w:rPr>
        <w:t>in shooting was performing a police function and therefore doing so on behalf of the</w:t>
      </w:r>
      <w:r w:rsidR="00B64C57">
        <w:rPr>
          <w:color w:val="231F20"/>
        </w:rPr>
        <w:t xml:space="preserve"> </w:t>
      </w:r>
      <w:r w:rsidRPr="00527666">
        <w:rPr>
          <w:color w:val="231F20"/>
        </w:rPr>
        <w:t>city.</w:t>
      </w:r>
    </w:p>
    <w:p w14:paraId="22CEFC0F" w14:textId="77777777" w:rsidR="009910CD" w:rsidRDefault="00FC2690" w:rsidP="00A9170A">
      <w:pPr>
        <w:pStyle w:val="Heading4"/>
        <w:tabs>
          <w:tab w:val="left" w:pos="720"/>
          <w:tab w:val="left" w:pos="2194"/>
        </w:tabs>
        <w:spacing w:before="74"/>
        <w:ind w:left="0"/>
      </w:pPr>
      <w:r>
        <w:rPr>
          <w:color w:val="231F20"/>
        </w:rPr>
        <w:t>§</w:t>
      </w:r>
      <w:r>
        <w:rPr>
          <w:color w:val="231F20"/>
          <w:spacing w:val="-2"/>
        </w:rPr>
        <w:t xml:space="preserve"> </w:t>
      </w:r>
      <w:r>
        <w:rPr>
          <w:color w:val="231F20"/>
        </w:rPr>
        <w:t>1.08</w:t>
      </w:r>
      <w:r>
        <w:rPr>
          <w:color w:val="231F20"/>
        </w:rPr>
        <w:tab/>
        <w:t>Duty—In</w:t>
      </w:r>
      <w:r>
        <w:rPr>
          <w:color w:val="231F20"/>
          <w:spacing w:val="14"/>
        </w:rPr>
        <w:t xml:space="preserve"> </w:t>
      </w:r>
      <w:r>
        <w:rPr>
          <w:color w:val="231F20"/>
        </w:rPr>
        <w:t>General</w:t>
      </w:r>
    </w:p>
    <w:p w14:paraId="6340FDC0" w14:textId="56D2E9DF" w:rsidR="00EF7A8A" w:rsidRDefault="00EF7A8A" w:rsidP="00EF7A8A">
      <w:pPr>
        <w:spacing w:before="135"/>
        <w:ind w:left="720"/>
      </w:pPr>
      <w:r w:rsidRPr="000E608E">
        <w:rPr>
          <w:color w:val="231F20"/>
        </w:rPr>
        <w:t>20</w:t>
      </w:r>
      <w:r>
        <w:rPr>
          <w:color w:val="231F20"/>
        </w:rPr>
        <w:t>23</w:t>
      </w:r>
      <w:r w:rsidRPr="000E608E">
        <w:rPr>
          <w:color w:val="231F20"/>
        </w:rPr>
        <w:t>—</w:t>
      </w:r>
      <w:r w:rsidR="00DC48F3">
        <w:rPr>
          <w:i/>
          <w:color w:val="231F20"/>
        </w:rPr>
        <w:t xml:space="preserve">Navy Federal Credit Union </w:t>
      </w:r>
      <w:r>
        <w:rPr>
          <w:i/>
          <w:color w:val="231F20"/>
        </w:rPr>
        <w:t xml:space="preserve">v. </w:t>
      </w:r>
      <w:r w:rsidR="00DC48F3">
        <w:rPr>
          <w:i/>
          <w:color w:val="231F20"/>
        </w:rPr>
        <w:t>Lentz</w:t>
      </w:r>
      <w:r w:rsidRPr="000E608E">
        <w:rPr>
          <w:color w:val="231F20"/>
        </w:rPr>
        <w:t xml:space="preserve">, </w:t>
      </w:r>
      <w:r>
        <w:rPr>
          <w:color w:val="231F20"/>
        </w:rPr>
        <w:t>7</w:t>
      </w:r>
      <w:r w:rsidR="00DC48F3">
        <w:rPr>
          <w:color w:val="231F20"/>
        </w:rPr>
        <w:t>8</w:t>
      </w:r>
      <w:r w:rsidRPr="000E608E">
        <w:rPr>
          <w:color w:val="231F20"/>
        </w:rPr>
        <w:t xml:space="preserve"> Va. </w:t>
      </w:r>
      <w:r>
        <w:rPr>
          <w:color w:val="231F20"/>
        </w:rPr>
        <w:t>App.</w:t>
      </w:r>
      <w:r w:rsidR="00DC48F3">
        <w:rPr>
          <w:color w:val="231F20"/>
        </w:rPr>
        <w:t xml:space="preserve"> 250</w:t>
      </w:r>
      <w:r w:rsidRPr="000E608E">
        <w:rPr>
          <w:color w:val="231F20"/>
        </w:rPr>
        <w:t xml:space="preserve">, </w:t>
      </w:r>
      <w:r w:rsidR="00DC48F3">
        <w:rPr>
          <w:color w:val="231F20"/>
        </w:rPr>
        <w:t>890</w:t>
      </w:r>
      <w:r w:rsidRPr="000E608E">
        <w:rPr>
          <w:color w:val="231F20"/>
        </w:rPr>
        <w:t xml:space="preserve"> S.E.2d </w:t>
      </w:r>
      <w:r w:rsidR="00DC48F3">
        <w:rPr>
          <w:color w:val="231F20"/>
        </w:rPr>
        <w:t>827</w:t>
      </w:r>
      <w:r w:rsidRPr="000E608E">
        <w:rPr>
          <w:color w:val="231F20"/>
        </w:rPr>
        <w:t>.</w:t>
      </w:r>
    </w:p>
    <w:p w14:paraId="4F5398C6" w14:textId="7EF0CE98" w:rsidR="00EF7A8A" w:rsidRDefault="00DC48F3" w:rsidP="00EF7A8A">
      <w:pPr>
        <w:spacing w:before="135"/>
        <w:ind w:left="1440"/>
        <w:jc w:val="both"/>
        <w:rPr>
          <w:color w:val="231F20"/>
        </w:rPr>
      </w:pPr>
      <w:r>
        <w:rPr>
          <w:color w:val="231F20"/>
        </w:rPr>
        <w:t xml:space="preserve">For statute to be source of duty giving rise to cause of action, the statute must expressly say it gives rise to a cause of action. </w:t>
      </w:r>
    </w:p>
    <w:p w14:paraId="0E5C2EA4" w14:textId="77777777" w:rsidR="00DC48F3" w:rsidRDefault="00DC48F3" w:rsidP="00DC48F3">
      <w:pPr>
        <w:spacing w:before="135"/>
        <w:ind w:left="720"/>
      </w:pPr>
      <w:r w:rsidRPr="000E608E">
        <w:rPr>
          <w:color w:val="231F20"/>
        </w:rPr>
        <w:t>20</w:t>
      </w:r>
      <w:r>
        <w:rPr>
          <w:color w:val="231F20"/>
        </w:rPr>
        <w:t>23</w:t>
      </w:r>
      <w:r w:rsidRPr="000E608E">
        <w:rPr>
          <w:color w:val="231F20"/>
        </w:rPr>
        <w:t>—</w:t>
      </w:r>
      <w:r>
        <w:rPr>
          <w:i/>
          <w:color w:val="231F20"/>
        </w:rPr>
        <w:t>Nestler v. Scarabelli</w:t>
      </w:r>
      <w:r w:rsidRPr="000E608E">
        <w:rPr>
          <w:color w:val="231F20"/>
        </w:rPr>
        <w:t xml:space="preserve">, </w:t>
      </w:r>
      <w:r>
        <w:rPr>
          <w:color w:val="231F20"/>
        </w:rPr>
        <w:t>77</w:t>
      </w:r>
      <w:r w:rsidRPr="000E608E">
        <w:rPr>
          <w:color w:val="231F20"/>
        </w:rPr>
        <w:t xml:space="preserve"> Va. </w:t>
      </w:r>
      <w:r>
        <w:rPr>
          <w:color w:val="231F20"/>
        </w:rPr>
        <w:t>App. 440</w:t>
      </w:r>
      <w:r w:rsidRPr="000E608E">
        <w:rPr>
          <w:color w:val="231F20"/>
        </w:rPr>
        <w:t xml:space="preserve">, </w:t>
      </w:r>
      <w:r>
        <w:rPr>
          <w:color w:val="231F20"/>
        </w:rPr>
        <w:t>886</w:t>
      </w:r>
      <w:r w:rsidRPr="000E608E">
        <w:rPr>
          <w:color w:val="231F20"/>
        </w:rPr>
        <w:t xml:space="preserve"> S.E.2d </w:t>
      </w:r>
      <w:r>
        <w:rPr>
          <w:color w:val="231F20"/>
        </w:rPr>
        <w:t>301</w:t>
      </w:r>
      <w:r w:rsidRPr="000E608E">
        <w:rPr>
          <w:color w:val="231F20"/>
        </w:rPr>
        <w:t>.</w:t>
      </w:r>
    </w:p>
    <w:p w14:paraId="01760081" w14:textId="77777777" w:rsidR="00DC48F3" w:rsidRDefault="00DC48F3" w:rsidP="00DC48F3">
      <w:pPr>
        <w:spacing w:before="135"/>
        <w:ind w:left="1440"/>
        <w:jc w:val="both"/>
        <w:rPr>
          <w:color w:val="231F20"/>
        </w:rPr>
      </w:pPr>
      <w:r>
        <w:rPr>
          <w:color w:val="231F20"/>
        </w:rPr>
        <w:t xml:space="preserve">Source of duty rule has no application to claim of fraudulent inducement of contract. Such a claim exists before the contract arises. Therefore the claim stands as a viable tort claim.  </w:t>
      </w:r>
    </w:p>
    <w:p w14:paraId="2D28ED7B" w14:textId="46FEB093" w:rsidR="008429CB" w:rsidRDefault="008429CB" w:rsidP="008429CB">
      <w:pPr>
        <w:spacing w:before="135"/>
        <w:ind w:left="720"/>
      </w:pPr>
      <w:r w:rsidRPr="000E608E">
        <w:rPr>
          <w:color w:val="231F20"/>
        </w:rPr>
        <w:t>20</w:t>
      </w:r>
      <w:r>
        <w:rPr>
          <w:color w:val="231F20"/>
        </w:rPr>
        <w:t>21</w:t>
      </w:r>
      <w:r w:rsidRPr="000E608E">
        <w:rPr>
          <w:color w:val="231F20"/>
        </w:rPr>
        <w:t>—</w:t>
      </w:r>
      <w:r>
        <w:rPr>
          <w:i/>
          <w:color w:val="231F20"/>
        </w:rPr>
        <w:t>Shoemaker v. Funkhouser</w:t>
      </w:r>
      <w:r w:rsidRPr="000E608E">
        <w:rPr>
          <w:color w:val="231F20"/>
        </w:rPr>
        <w:t xml:space="preserve">, </w:t>
      </w:r>
      <w:r>
        <w:rPr>
          <w:color w:val="231F20"/>
        </w:rPr>
        <w:t>299</w:t>
      </w:r>
      <w:r w:rsidRPr="000E608E">
        <w:rPr>
          <w:color w:val="231F20"/>
        </w:rPr>
        <w:t xml:space="preserve"> Va. </w:t>
      </w:r>
      <w:r>
        <w:rPr>
          <w:color w:val="231F20"/>
        </w:rPr>
        <w:t>471</w:t>
      </w:r>
      <w:r w:rsidRPr="000E608E">
        <w:rPr>
          <w:color w:val="231F20"/>
        </w:rPr>
        <w:t xml:space="preserve">, </w:t>
      </w:r>
      <w:r>
        <w:rPr>
          <w:color w:val="231F20"/>
        </w:rPr>
        <w:t>856</w:t>
      </w:r>
      <w:r w:rsidRPr="000E608E">
        <w:rPr>
          <w:color w:val="231F20"/>
        </w:rPr>
        <w:t xml:space="preserve"> S.E.2d </w:t>
      </w:r>
      <w:r>
        <w:rPr>
          <w:color w:val="231F20"/>
        </w:rPr>
        <w:t>174</w:t>
      </w:r>
      <w:r w:rsidRPr="000E608E">
        <w:rPr>
          <w:color w:val="231F20"/>
        </w:rPr>
        <w:t>.</w:t>
      </w:r>
    </w:p>
    <w:p w14:paraId="162B50F7" w14:textId="33ECD184" w:rsidR="008429CB" w:rsidRDefault="008429CB" w:rsidP="00AF062B">
      <w:pPr>
        <w:spacing w:before="135"/>
        <w:ind w:left="1440"/>
        <w:jc w:val="both"/>
        <w:rPr>
          <w:color w:val="231F20"/>
        </w:rPr>
      </w:pPr>
      <w:r>
        <w:rPr>
          <w:color w:val="231F20"/>
        </w:rPr>
        <w:t xml:space="preserve">Landowner has duty to exercise reasonable care to control conduct of third party </w:t>
      </w:r>
      <w:r w:rsidR="00AD3B33">
        <w:rPr>
          <w:color w:val="231F20"/>
        </w:rPr>
        <w:t xml:space="preserve">who has been granted permission to use the land to prevent that third party from intentionally harming others or from acting so as to create an unreasonable risk of harm to others.  In this instance, landowner had duty to control person conducting target practice in back yard.  The recreational immunity statute in this case does not immunize the property owner. </w:t>
      </w:r>
    </w:p>
    <w:p w14:paraId="5A3998F2" w14:textId="30F3429A" w:rsidR="00052066" w:rsidRDefault="00052066" w:rsidP="00052066">
      <w:pPr>
        <w:spacing w:before="135"/>
        <w:ind w:left="720"/>
      </w:pPr>
      <w:r w:rsidRPr="000E608E">
        <w:rPr>
          <w:color w:val="231F20"/>
        </w:rPr>
        <w:t>20</w:t>
      </w:r>
      <w:r>
        <w:rPr>
          <w:color w:val="231F20"/>
        </w:rPr>
        <w:t>19</w:t>
      </w:r>
      <w:r w:rsidRPr="000E608E">
        <w:rPr>
          <w:color w:val="231F20"/>
        </w:rPr>
        <w:t>—</w:t>
      </w:r>
      <w:r>
        <w:rPr>
          <w:i/>
          <w:color w:val="231F20"/>
        </w:rPr>
        <w:t>Tingler v. Graystone Homes, Inc.</w:t>
      </w:r>
      <w:r w:rsidRPr="000E608E">
        <w:rPr>
          <w:color w:val="231F20"/>
        </w:rPr>
        <w:t xml:space="preserve">, </w:t>
      </w:r>
      <w:r>
        <w:rPr>
          <w:color w:val="231F20"/>
        </w:rPr>
        <w:t>298</w:t>
      </w:r>
      <w:r w:rsidRPr="000E608E">
        <w:rPr>
          <w:color w:val="231F20"/>
        </w:rPr>
        <w:t xml:space="preserve"> Va. </w:t>
      </w:r>
      <w:r>
        <w:rPr>
          <w:color w:val="231F20"/>
        </w:rPr>
        <w:t>63</w:t>
      </w:r>
      <w:r w:rsidRPr="000E608E">
        <w:rPr>
          <w:color w:val="231F20"/>
        </w:rPr>
        <w:t xml:space="preserve">, </w:t>
      </w:r>
      <w:r>
        <w:rPr>
          <w:color w:val="231F20"/>
        </w:rPr>
        <w:t>834</w:t>
      </w:r>
      <w:r w:rsidRPr="000E608E">
        <w:rPr>
          <w:color w:val="231F20"/>
        </w:rPr>
        <w:t xml:space="preserve"> S.E.2d </w:t>
      </w:r>
      <w:r>
        <w:rPr>
          <w:color w:val="231F20"/>
        </w:rPr>
        <w:t>244</w:t>
      </w:r>
      <w:r w:rsidRPr="000E608E">
        <w:rPr>
          <w:color w:val="231F20"/>
        </w:rPr>
        <w:t>.</w:t>
      </w:r>
    </w:p>
    <w:p w14:paraId="59DCCE40" w14:textId="41F7C45F" w:rsidR="00052066" w:rsidRDefault="00052066" w:rsidP="00AF062B">
      <w:pPr>
        <w:spacing w:before="135"/>
        <w:ind w:left="1440"/>
        <w:jc w:val="both"/>
        <w:rPr>
          <w:color w:val="231F20"/>
        </w:rPr>
      </w:pPr>
      <w:r>
        <w:rPr>
          <w:color w:val="231F20"/>
        </w:rPr>
        <w:t xml:space="preserve">Inhabitants of newly-constructed home and owner of land on which the home was built filed suit for breach of contract and negligence against the homebuilder alleging personal injuries, property damage and economic losses from rainwater leaks that resulted in mold growth.  Supreme Court rejected the rule regarding tort liability in construction of new homes.  The claim essentially sounded in contract, not in tort thereby precluding personal injury claims.  Negligent repairs may be the basis for personal injury tort claims.  </w:t>
      </w:r>
    </w:p>
    <w:p w14:paraId="263E0BD5" w14:textId="3E702DAC" w:rsidR="00052066" w:rsidRDefault="00052066" w:rsidP="00052066">
      <w:pPr>
        <w:spacing w:before="135"/>
        <w:ind w:left="720"/>
      </w:pPr>
      <w:r w:rsidRPr="000E608E">
        <w:rPr>
          <w:color w:val="231F20"/>
        </w:rPr>
        <w:t>20</w:t>
      </w:r>
      <w:r>
        <w:rPr>
          <w:color w:val="231F20"/>
        </w:rPr>
        <w:t>19</w:t>
      </w:r>
      <w:r w:rsidRPr="000E608E">
        <w:rPr>
          <w:color w:val="231F20"/>
        </w:rPr>
        <w:t>—</w:t>
      </w:r>
      <w:r>
        <w:rPr>
          <w:i/>
          <w:color w:val="231F20"/>
        </w:rPr>
        <w:t>AH v. Church of God in Christ, Inc.</w:t>
      </w:r>
      <w:r w:rsidRPr="000E608E">
        <w:rPr>
          <w:color w:val="231F20"/>
        </w:rPr>
        <w:t xml:space="preserve">, </w:t>
      </w:r>
      <w:r>
        <w:rPr>
          <w:color w:val="231F20"/>
        </w:rPr>
        <w:t>297</w:t>
      </w:r>
      <w:r w:rsidRPr="000E608E">
        <w:rPr>
          <w:color w:val="231F20"/>
        </w:rPr>
        <w:t xml:space="preserve"> Va. </w:t>
      </w:r>
      <w:r>
        <w:rPr>
          <w:color w:val="231F20"/>
        </w:rPr>
        <w:t>604</w:t>
      </w:r>
      <w:r w:rsidRPr="000E608E">
        <w:rPr>
          <w:color w:val="231F20"/>
        </w:rPr>
        <w:t xml:space="preserve">, </w:t>
      </w:r>
      <w:r>
        <w:rPr>
          <w:color w:val="231F20"/>
        </w:rPr>
        <w:t>831</w:t>
      </w:r>
      <w:r w:rsidRPr="000E608E">
        <w:rPr>
          <w:color w:val="231F20"/>
        </w:rPr>
        <w:t xml:space="preserve"> S.E.2d </w:t>
      </w:r>
      <w:r>
        <w:rPr>
          <w:color w:val="231F20"/>
        </w:rPr>
        <w:t>460</w:t>
      </w:r>
      <w:r w:rsidRPr="000E608E">
        <w:rPr>
          <w:color w:val="231F20"/>
        </w:rPr>
        <w:t>.</w:t>
      </w:r>
    </w:p>
    <w:p w14:paraId="3558BAC7" w14:textId="1830F003" w:rsidR="00052066" w:rsidRDefault="00052066" w:rsidP="00AF062B">
      <w:pPr>
        <w:spacing w:before="135"/>
        <w:ind w:left="1440"/>
        <w:jc w:val="both"/>
        <w:rPr>
          <w:color w:val="231F20"/>
        </w:rPr>
      </w:pPr>
      <w:r>
        <w:rPr>
          <w:color w:val="231F20"/>
        </w:rPr>
        <w:t xml:space="preserve">Matter was before the court on a grant of a demurrer.  As such all factual allegations expressly </w:t>
      </w:r>
      <w:r w:rsidR="007A00D1">
        <w:rPr>
          <w:color w:val="231F20"/>
        </w:rPr>
        <w:t>pled</w:t>
      </w:r>
      <w:r>
        <w:rPr>
          <w:color w:val="231F20"/>
        </w:rPr>
        <w:t xml:space="preserve"> are accepted as true and allegations are looked at in the light most favorable to the plaintiff.  Plaintiff alleged abuse by </w:t>
      </w:r>
      <w:r w:rsidR="00F04EF4">
        <w:rPr>
          <w:color w:val="231F20"/>
        </w:rPr>
        <w:t xml:space="preserve">a church employee.  As a general rule there is no duty to warn or protect against acts of criminal assault by third persons.  The exceptions to that are where a defendant expressly assumes the duty and the other is where duty is imposed when a special relationship exists between the defendant and the third party or </w:t>
      </w:r>
      <w:r w:rsidR="00F04EF4">
        <w:rPr>
          <w:color w:val="231F20"/>
        </w:rPr>
        <w:lastRenderedPageBreak/>
        <w:t>between the defendant and the plaintiff, which gives a right of protection</w:t>
      </w:r>
      <w:r w:rsidR="00E85794">
        <w:rPr>
          <w:color w:val="231F20"/>
        </w:rPr>
        <w:t xml:space="preserve"> to the plaintiff.  The negligent hiring in this case was dismissed because to properly assert such a claim, the plaintiff must show that the employee’s propensity to cause injury to others was either known or should have been discovered by reasonable investigation.  The negligent retention claim was likewise properly dismissed because it was not adequately alleged that the employer knew or should have known that the employee was dangerous and likely to harm others.  The freestanding claim for negligent supervision was likewise properly dismissed because there is no duty of reasonable care imposed on the employer in the supervision of its employees under these circumstance</w:t>
      </w:r>
      <w:r w:rsidR="00E510B9">
        <w:rPr>
          <w:color w:val="231F20"/>
        </w:rPr>
        <w:t>s</w:t>
      </w:r>
      <w:r w:rsidR="00E85794">
        <w:rPr>
          <w:color w:val="231F20"/>
        </w:rPr>
        <w:t>.  As to the employer’s vicarious liability, the act must occur while the employee was in fact performing a specific job-related service for the employer and must be within the scope of the duties of the employment and in the execution of the service for which the employee was engaged.  Based on the facts presented, vicarious liability is properly alleged.  As to the recovery of emotional distress damages, that has been properly alleged based upon the existence of the duties as stated above.</w:t>
      </w:r>
    </w:p>
    <w:p w14:paraId="0944C338" w14:textId="06E142F9" w:rsidR="00421FB2" w:rsidRDefault="00421FB2" w:rsidP="00421FB2">
      <w:pPr>
        <w:spacing w:before="135"/>
        <w:ind w:left="720"/>
      </w:pPr>
      <w:r w:rsidRPr="000E608E">
        <w:rPr>
          <w:color w:val="231F20"/>
        </w:rPr>
        <w:t>201</w:t>
      </w:r>
      <w:r>
        <w:rPr>
          <w:color w:val="231F20"/>
        </w:rPr>
        <w:t>8</w:t>
      </w:r>
      <w:r w:rsidRPr="000E608E">
        <w:rPr>
          <w:color w:val="231F20"/>
        </w:rPr>
        <w:t>—</w:t>
      </w:r>
      <w:r>
        <w:rPr>
          <w:i/>
          <w:color w:val="231F20"/>
        </w:rPr>
        <w:t>Quisenberry v. Huntington Ingalls, Inc.</w:t>
      </w:r>
      <w:r w:rsidRPr="000E608E">
        <w:rPr>
          <w:color w:val="231F20"/>
        </w:rPr>
        <w:t xml:space="preserve">, </w:t>
      </w:r>
      <w:r>
        <w:rPr>
          <w:color w:val="231F20"/>
        </w:rPr>
        <w:t>296</w:t>
      </w:r>
      <w:r w:rsidRPr="000E608E">
        <w:rPr>
          <w:color w:val="231F20"/>
        </w:rPr>
        <w:t xml:space="preserve"> Va. </w:t>
      </w:r>
      <w:r>
        <w:rPr>
          <w:color w:val="231F20"/>
        </w:rPr>
        <w:t>23</w:t>
      </w:r>
      <w:r w:rsidR="006256F8">
        <w:rPr>
          <w:color w:val="231F20"/>
        </w:rPr>
        <w:t>3</w:t>
      </w:r>
      <w:r w:rsidRPr="000E608E">
        <w:rPr>
          <w:color w:val="231F20"/>
        </w:rPr>
        <w:t xml:space="preserve">, </w:t>
      </w:r>
      <w:r>
        <w:rPr>
          <w:color w:val="231F20"/>
        </w:rPr>
        <w:t>818</w:t>
      </w:r>
      <w:r w:rsidRPr="000E608E">
        <w:rPr>
          <w:color w:val="231F20"/>
        </w:rPr>
        <w:t xml:space="preserve"> S.E.2d </w:t>
      </w:r>
      <w:r>
        <w:rPr>
          <w:color w:val="231F20"/>
        </w:rPr>
        <w:t>805</w:t>
      </w:r>
      <w:r w:rsidRPr="000E608E">
        <w:rPr>
          <w:color w:val="231F20"/>
        </w:rPr>
        <w:t>.</w:t>
      </w:r>
    </w:p>
    <w:p w14:paraId="2E01FDCE" w14:textId="35C1FE7E" w:rsidR="00421FB2" w:rsidRPr="00A9170A" w:rsidRDefault="00421FB2" w:rsidP="00421FB2">
      <w:pPr>
        <w:pStyle w:val="BodyText"/>
        <w:spacing w:before="120" w:after="120"/>
        <w:ind w:left="1440"/>
        <w:jc w:val="both"/>
        <w:rPr>
          <w:color w:val="231F20"/>
        </w:rPr>
      </w:pPr>
      <w:r>
        <w:rPr>
          <w:color w:val="231F20"/>
        </w:rPr>
        <w:t>Question presented from EDVA was whether employer owed a duty to family members who allege exposure to asbestos from work clothes of the employee where the family alleges the employer’s negligence allowed the asbestos to be transported home.  The Supreme Court answered that question “yes”.  The existence of a duty does not depend on proving a particular relationship but may rather depend upon proving that the plaintiff is within reach of the defendant’s conduct.</w:t>
      </w:r>
    </w:p>
    <w:p w14:paraId="0C2BC39C" w14:textId="6DEC55F3" w:rsidR="002C1124" w:rsidRDefault="002C1124" w:rsidP="002C1124">
      <w:pPr>
        <w:spacing w:before="135"/>
        <w:ind w:left="720"/>
      </w:pPr>
      <w:r w:rsidRPr="000E608E">
        <w:rPr>
          <w:color w:val="231F20"/>
        </w:rPr>
        <w:t>201</w:t>
      </w:r>
      <w:r>
        <w:rPr>
          <w:color w:val="231F20"/>
        </w:rPr>
        <w:t>8</w:t>
      </w:r>
      <w:r w:rsidRPr="000E608E">
        <w:rPr>
          <w:color w:val="231F20"/>
        </w:rPr>
        <w:t>—</w:t>
      </w:r>
      <w:r>
        <w:rPr>
          <w:i/>
          <w:color w:val="231F20"/>
        </w:rPr>
        <w:t>Terry v. Irish Fleet, Inc.</w:t>
      </w:r>
      <w:r w:rsidRPr="000E608E">
        <w:rPr>
          <w:color w:val="231F20"/>
        </w:rPr>
        <w:t xml:space="preserve">, </w:t>
      </w:r>
      <w:r>
        <w:rPr>
          <w:color w:val="231F20"/>
        </w:rPr>
        <w:t>296</w:t>
      </w:r>
      <w:r w:rsidRPr="000E608E">
        <w:rPr>
          <w:color w:val="231F20"/>
        </w:rPr>
        <w:t xml:space="preserve"> Va. </w:t>
      </w:r>
      <w:r>
        <w:rPr>
          <w:color w:val="231F20"/>
        </w:rPr>
        <w:t>129</w:t>
      </w:r>
      <w:r w:rsidRPr="000E608E">
        <w:rPr>
          <w:color w:val="231F20"/>
        </w:rPr>
        <w:t xml:space="preserve">, </w:t>
      </w:r>
      <w:r>
        <w:rPr>
          <w:color w:val="231F20"/>
        </w:rPr>
        <w:t>818</w:t>
      </w:r>
      <w:r w:rsidRPr="000E608E">
        <w:rPr>
          <w:color w:val="231F20"/>
        </w:rPr>
        <w:t xml:space="preserve"> S.E.2d </w:t>
      </w:r>
      <w:r>
        <w:rPr>
          <w:color w:val="231F20"/>
        </w:rPr>
        <w:t>788</w:t>
      </w:r>
      <w:r w:rsidRPr="000E608E">
        <w:rPr>
          <w:color w:val="231F20"/>
        </w:rPr>
        <w:t>.</w:t>
      </w:r>
    </w:p>
    <w:p w14:paraId="05FBF079" w14:textId="0AA77B51" w:rsidR="002C1124" w:rsidRPr="00A9170A" w:rsidRDefault="002C1124" w:rsidP="002C1124">
      <w:pPr>
        <w:pStyle w:val="BodyText"/>
        <w:spacing w:before="120" w:after="120"/>
        <w:ind w:left="1440"/>
        <w:jc w:val="both"/>
        <w:rPr>
          <w:color w:val="231F20"/>
        </w:rPr>
      </w:pPr>
      <w:r>
        <w:rPr>
          <w:color w:val="231F20"/>
        </w:rPr>
        <w:t xml:space="preserve">There are two theories upon which a duty to warn or protect against criminal behavior by a third person may arise:  the existence of a special relationship and a duty voluntarily assumed by an express undertaking.  This cannot be based upon simply an implied voluntary undertaking.  In this case dispatching service arguably knew about danger associated with a particular location but still dispatched a cab driver to that location.  The facts as pled were insufficient.  </w:t>
      </w:r>
    </w:p>
    <w:p w14:paraId="79A899BF" w14:textId="77777777" w:rsidR="00AD14A8" w:rsidRDefault="00AD14A8" w:rsidP="00A9170A">
      <w:pPr>
        <w:spacing w:before="135"/>
        <w:ind w:left="720"/>
      </w:pPr>
      <w:r w:rsidRPr="000E608E">
        <w:rPr>
          <w:color w:val="231F20"/>
        </w:rPr>
        <w:t>201</w:t>
      </w:r>
      <w:r>
        <w:rPr>
          <w:color w:val="231F20"/>
        </w:rPr>
        <w:t>7</w:t>
      </w:r>
      <w:r w:rsidRPr="000E608E">
        <w:rPr>
          <w:color w:val="231F20"/>
        </w:rPr>
        <w:t>—</w:t>
      </w:r>
      <w:r>
        <w:rPr>
          <w:i/>
          <w:color w:val="231F20"/>
        </w:rPr>
        <w:t>MCR Federal, LLC</w:t>
      </w:r>
      <w:r w:rsidRPr="000E608E">
        <w:rPr>
          <w:i/>
          <w:color w:val="231F20"/>
        </w:rPr>
        <w:t xml:space="preserve"> v. </w:t>
      </w:r>
      <w:r>
        <w:rPr>
          <w:i/>
          <w:color w:val="231F20"/>
        </w:rPr>
        <w:t>JB&amp;A, Inc.</w:t>
      </w:r>
      <w:r w:rsidRPr="000E608E">
        <w:rPr>
          <w:color w:val="231F20"/>
        </w:rPr>
        <w:t xml:space="preserve">, </w:t>
      </w:r>
      <w:r>
        <w:rPr>
          <w:color w:val="231F20"/>
        </w:rPr>
        <w:t>294</w:t>
      </w:r>
      <w:r w:rsidRPr="000E608E">
        <w:rPr>
          <w:color w:val="231F20"/>
        </w:rPr>
        <w:t xml:space="preserve"> Va. </w:t>
      </w:r>
      <w:r>
        <w:rPr>
          <w:color w:val="231F20"/>
        </w:rPr>
        <w:t>446</w:t>
      </w:r>
      <w:r w:rsidRPr="000E608E">
        <w:rPr>
          <w:color w:val="231F20"/>
        </w:rPr>
        <w:t xml:space="preserve">, </w:t>
      </w:r>
      <w:r>
        <w:rPr>
          <w:color w:val="231F20"/>
        </w:rPr>
        <w:t>808</w:t>
      </w:r>
      <w:r w:rsidRPr="000E608E">
        <w:rPr>
          <w:color w:val="231F20"/>
        </w:rPr>
        <w:t xml:space="preserve"> S.E.2d </w:t>
      </w:r>
      <w:r>
        <w:rPr>
          <w:color w:val="231F20"/>
        </w:rPr>
        <w:t>186</w:t>
      </w:r>
      <w:r w:rsidRPr="000E608E">
        <w:rPr>
          <w:color w:val="231F20"/>
        </w:rPr>
        <w:t>.</w:t>
      </w:r>
    </w:p>
    <w:p w14:paraId="541F2D78" w14:textId="77777777" w:rsidR="00AD14A8" w:rsidRPr="00A9170A" w:rsidRDefault="00AD14A8" w:rsidP="00CB4A05">
      <w:pPr>
        <w:pStyle w:val="BodyText"/>
        <w:spacing w:before="120" w:after="120"/>
        <w:ind w:left="1440"/>
        <w:jc w:val="both"/>
        <w:rPr>
          <w:color w:val="231F20"/>
        </w:rPr>
      </w:pPr>
      <w:r>
        <w:rPr>
          <w:color w:val="231F20"/>
        </w:rPr>
        <w:t xml:space="preserve">Because fraud claim arose from contractual relationship it is barred in this circumstance under Source of Duty Rule.  </w:t>
      </w:r>
    </w:p>
    <w:p w14:paraId="4B2042D0" w14:textId="77777777" w:rsidR="009910CD" w:rsidRDefault="00FC2690" w:rsidP="00A9170A">
      <w:pPr>
        <w:spacing w:before="126"/>
        <w:ind w:left="720"/>
      </w:pPr>
      <w:r>
        <w:rPr>
          <w:color w:val="231F20"/>
        </w:rPr>
        <w:t>2014—</w:t>
      </w:r>
      <w:r>
        <w:rPr>
          <w:i/>
          <w:color w:val="231F20"/>
        </w:rPr>
        <w:t>RGR, LLC v.</w:t>
      </w:r>
      <w:r w:rsidR="00B64C57">
        <w:rPr>
          <w:i/>
          <w:color w:val="231F20"/>
        </w:rPr>
        <w:t xml:space="preserve"> </w:t>
      </w:r>
      <w:r>
        <w:rPr>
          <w:i/>
          <w:color w:val="231F20"/>
        </w:rPr>
        <w:t>Settle</w:t>
      </w:r>
      <w:r>
        <w:rPr>
          <w:color w:val="231F20"/>
        </w:rPr>
        <w:t xml:space="preserve">, </w:t>
      </w:r>
      <w:r w:rsidR="00D47803">
        <w:rPr>
          <w:color w:val="231F20"/>
        </w:rPr>
        <w:t xml:space="preserve">288 Va. 260, </w:t>
      </w:r>
      <w:r>
        <w:rPr>
          <w:color w:val="231F20"/>
        </w:rPr>
        <w:t>764 S.E.2d</w:t>
      </w:r>
      <w:r w:rsidR="00B64C57">
        <w:rPr>
          <w:color w:val="231F20"/>
        </w:rPr>
        <w:t xml:space="preserve"> </w:t>
      </w:r>
      <w:r>
        <w:rPr>
          <w:color w:val="231F20"/>
        </w:rPr>
        <w:t>8.</w:t>
      </w:r>
    </w:p>
    <w:p w14:paraId="2FB006D2" w14:textId="77777777" w:rsidR="009910CD" w:rsidRPr="00A9170A" w:rsidRDefault="00FC2690" w:rsidP="00CB4A05">
      <w:pPr>
        <w:pStyle w:val="BodyText"/>
        <w:spacing w:before="120" w:after="120"/>
        <w:ind w:left="1440"/>
        <w:jc w:val="both"/>
        <w:rPr>
          <w:color w:val="231F20"/>
        </w:rPr>
      </w:pPr>
      <w:r>
        <w:rPr>
          <w:color w:val="231F20"/>
        </w:rPr>
        <w:t>Wrongful death action where lumber company had piled lumber near a railroad crossing blocking the truck driver’s view as he approached the crossing. Lumberyard should have foreseen the</w:t>
      </w:r>
      <w:r w:rsidRPr="00A9170A">
        <w:rPr>
          <w:color w:val="231F20"/>
        </w:rPr>
        <w:t xml:space="preserve"> </w:t>
      </w:r>
      <w:r>
        <w:rPr>
          <w:color w:val="231F20"/>
        </w:rPr>
        <w:t>risk. Court imposed a duty owed to mankind in</w:t>
      </w:r>
      <w:r w:rsidR="00B64C57">
        <w:rPr>
          <w:color w:val="231F20"/>
        </w:rPr>
        <w:t xml:space="preserve"> </w:t>
      </w:r>
      <w:r>
        <w:rPr>
          <w:color w:val="231F20"/>
        </w:rPr>
        <w:t>general.</w:t>
      </w:r>
    </w:p>
    <w:p w14:paraId="0F02774A" w14:textId="77777777" w:rsidR="009910CD" w:rsidRDefault="00FC2690" w:rsidP="00A9170A">
      <w:pPr>
        <w:spacing w:before="119"/>
        <w:ind w:left="720"/>
      </w:pPr>
      <w:r>
        <w:rPr>
          <w:color w:val="231F20"/>
        </w:rPr>
        <w:t>2012—</w:t>
      </w:r>
      <w:r>
        <w:rPr>
          <w:i/>
          <w:color w:val="231F20"/>
        </w:rPr>
        <w:t>Cline v.</w:t>
      </w:r>
      <w:r w:rsidR="00B64C57">
        <w:rPr>
          <w:i/>
          <w:color w:val="231F20"/>
        </w:rPr>
        <w:t xml:space="preserve"> </w:t>
      </w:r>
      <w:r>
        <w:rPr>
          <w:i/>
          <w:color w:val="231F20"/>
        </w:rPr>
        <w:t>Dunlora South, LLC</w:t>
      </w:r>
      <w:r>
        <w:rPr>
          <w:color w:val="231F20"/>
        </w:rPr>
        <w:t>, 284 Va.</w:t>
      </w:r>
      <w:r w:rsidR="00B64C57">
        <w:rPr>
          <w:color w:val="231F20"/>
        </w:rPr>
        <w:t xml:space="preserve"> </w:t>
      </w:r>
      <w:r>
        <w:rPr>
          <w:color w:val="231F20"/>
        </w:rPr>
        <w:t>102, 726 S.E.2d</w:t>
      </w:r>
      <w:r w:rsidR="00B64C57">
        <w:rPr>
          <w:color w:val="231F20"/>
        </w:rPr>
        <w:t xml:space="preserve"> </w:t>
      </w:r>
      <w:r>
        <w:rPr>
          <w:color w:val="231F20"/>
        </w:rPr>
        <w:t>14.</w:t>
      </w:r>
    </w:p>
    <w:p w14:paraId="7BAA5807" w14:textId="07A4EB2A" w:rsidR="00E871C9" w:rsidRDefault="00FC2690" w:rsidP="009D6788">
      <w:pPr>
        <w:pStyle w:val="BodyText"/>
        <w:spacing w:before="120" w:after="120"/>
        <w:ind w:left="1440"/>
        <w:jc w:val="both"/>
        <w:rPr>
          <w:color w:val="231F20"/>
        </w:rPr>
      </w:pPr>
      <w:r>
        <w:rPr>
          <w:color w:val="231F20"/>
        </w:rPr>
        <w:t>Motorist injured when tree located on private land fell on public roadway striking vehicle. No duty exists in this case. The complaint did not allege any affirmative act of the landowner, making the property different from its natural state or from its condition when the road was built. Demurrer properly</w:t>
      </w:r>
      <w:r w:rsidR="00B64C57">
        <w:rPr>
          <w:color w:val="231F20"/>
        </w:rPr>
        <w:t xml:space="preserve"> </w:t>
      </w:r>
      <w:r>
        <w:rPr>
          <w:color w:val="231F20"/>
        </w:rPr>
        <w:t>sustained.</w:t>
      </w:r>
    </w:p>
    <w:p w14:paraId="608DB4AF" w14:textId="73D98AAF" w:rsidR="009910CD" w:rsidRPr="00324C7E" w:rsidRDefault="00FC2690" w:rsidP="00324C7E">
      <w:pPr>
        <w:spacing w:before="119"/>
        <w:ind w:left="720"/>
        <w:rPr>
          <w:color w:val="231F20"/>
        </w:rPr>
      </w:pPr>
      <w:r>
        <w:rPr>
          <w:color w:val="231F20"/>
        </w:rPr>
        <w:t>2011—</w:t>
      </w:r>
      <w:r w:rsidRPr="00BF6613">
        <w:rPr>
          <w:i/>
          <w:color w:val="231F20"/>
        </w:rPr>
        <w:t>Kaltman v. All American Pest Control</w:t>
      </w:r>
      <w:r>
        <w:rPr>
          <w:color w:val="231F20"/>
        </w:rPr>
        <w:t>, 281 Va. 483, 706 S.E.2d 864.</w:t>
      </w:r>
    </w:p>
    <w:p w14:paraId="37598C65" w14:textId="061D3498" w:rsidR="009910CD" w:rsidRPr="00A9170A" w:rsidRDefault="00FC2690" w:rsidP="00CB4A05">
      <w:pPr>
        <w:pStyle w:val="BodyText"/>
        <w:spacing w:before="120" w:after="120"/>
        <w:ind w:left="1440"/>
        <w:jc w:val="both"/>
        <w:rPr>
          <w:color w:val="231F20"/>
        </w:rPr>
      </w:pPr>
      <w:r>
        <w:rPr>
          <w:color w:val="231F20"/>
        </w:rPr>
        <w:t xml:space="preserve">Husband and wife filed complaint against pest control company after employee treated couple’s home with pesticide that was not approved for residential use. Trial </w:t>
      </w:r>
      <w:r w:rsidR="00AE3B68">
        <w:rPr>
          <w:color w:val="231F20"/>
        </w:rPr>
        <w:t>c</w:t>
      </w:r>
      <w:r>
        <w:rPr>
          <w:color w:val="231F20"/>
        </w:rPr>
        <w:t>ourt</w:t>
      </w:r>
      <w:r w:rsidR="001A7CF6">
        <w:rPr>
          <w:color w:val="231F20"/>
        </w:rPr>
        <w:t xml:space="preserve"> improperly granted demur</w:t>
      </w:r>
      <w:r>
        <w:rPr>
          <w:color w:val="231F20"/>
        </w:rPr>
        <w:t xml:space="preserve">rers as to negligence and negligence per se counts as these claims </w:t>
      </w:r>
      <w:r w:rsidR="00330E33">
        <w:rPr>
          <w:color w:val="231F20"/>
        </w:rPr>
        <w:br/>
      </w:r>
      <w:r w:rsidR="00330E33">
        <w:rPr>
          <w:color w:val="231F20"/>
        </w:rPr>
        <w:br/>
      </w:r>
      <w:r>
        <w:rPr>
          <w:color w:val="231F20"/>
        </w:rPr>
        <w:lastRenderedPageBreak/>
        <w:t xml:space="preserve">did not necessarily arise out of the agreement between the </w:t>
      </w:r>
      <w:r w:rsidR="001F3312">
        <w:rPr>
          <w:color w:val="231F20"/>
        </w:rPr>
        <w:t>homeowners</w:t>
      </w:r>
      <w:r>
        <w:rPr>
          <w:color w:val="231F20"/>
        </w:rPr>
        <w:t xml:space="preserve"> and the pest company but the duties instead arose out of the statute.</w:t>
      </w:r>
    </w:p>
    <w:p w14:paraId="016BCAF9" w14:textId="77777777" w:rsidR="009129DE" w:rsidRPr="00324C7E" w:rsidRDefault="009129DE" w:rsidP="004871D1">
      <w:pPr>
        <w:ind w:left="720"/>
        <w:rPr>
          <w:color w:val="231F20"/>
        </w:rPr>
      </w:pPr>
      <w:r>
        <w:rPr>
          <w:color w:val="231F20"/>
        </w:rPr>
        <w:t>2009—</w:t>
      </w:r>
      <w:r w:rsidRPr="00BF6613">
        <w:rPr>
          <w:i/>
          <w:color w:val="231F20"/>
        </w:rPr>
        <w:t>Kellermann v. McDonough</w:t>
      </w:r>
      <w:r>
        <w:rPr>
          <w:color w:val="231F20"/>
        </w:rPr>
        <w:t>, 278 Va. 478, 684 S.E.2d 786.</w:t>
      </w:r>
    </w:p>
    <w:p w14:paraId="21960D0F" w14:textId="14BFAB64" w:rsidR="00D75D57" w:rsidRDefault="009129DE" w:rsidP="00E92FB2">
      <w:pPr>
        <w:pStyle w:val="BodyText"/>
        <w:spacing w:before="120" w:after="120"/>
        <w:ind w:left="1440"/>
        <w:jc w:val="both"/>
        <w:rPr>
          <w:color w:val="231F20"/>
        </w:rPr>
      </w:pPr>
      <w:r>
        <w:rPr>
          <w:color w:val="231F20"/>
        </w:rPr>
        <w:t xml:space="preserve">Plaintiff allowed daughter to stay at home of a friend and daughter was subsequently killed while riding in a vehicle driven by another  </w:t>
      </w:r>
      <w:r w:rsidR="00FC2690">
        <w:rPr>
          <w:color w:val="231F20"/>
        </w:rPr>
        <w:t xml:space="preserve">minor against the father’s expressed </w:t>
      </w:r>
      <w:r w:rsidR="00004CD3">
        <w:rPr>
          <w:color w:val="231F20"/>
        </w:rPr>
        <w:t>instruct-</w:t>
      </w:r>
      <w:r w:rsidR="00FC2690">
        <w:rPr>
          <w:color w:val="231F20"/>
        </w:rPr>
        <w:t xml:space="preserve">tions. Father properly alleged common-law claim based upon duty in tort of failing to supervise and care for the daughter when the parents relinquished supervision and care to the defendants and the defendants agreed to supervise and care for the child. Parents also </w:t>
      </w:r>
      <w:proofErr w:type="gramStart"/>
      <w:r w:rsidR="00FC2690">
        <w:rPr>
          <w:color w:val="231F20"/>
        </w:rPr>
        <w:t>pled</w:t>
      </w:r>
      <w:proofErr w:type="gramEnd"/>
      <w:r w:rsidR="00FC2690">
        <w:rPr>
          <w:color w:val="231F20"/>
        </w:rPr>
        <w:t xml:space="preserve"> a cause of action on the basis that defendant assumed duty to the plaintiff’s child. These defendants, however, did not have a special relationship with the decedent child that created a duty to protect her from the criminal acts of third parties such as the driver of the vehicle in question.</w:t>
      </w:r>
    </w:p>
    <w:p w14:paraId="749CF0B8"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1.10</w:t>
      </w:r>
      <w:r>
        <w:rPr>
          <w:color w:val="231F20"/>
        </w:rPr>
        <w:tab/>
        <w:t>Duty to</w:t>
      </w:r>
      <w:r w:rsidRPr="00324C7E">
        <w:rPr>
          <w:color w:val="231F20"/>
        </w:rPr>
        <w:t xml:space="preserve"> Warn</w:t>
      </w:r>
    </w:p>
    <w:p w14:paraId="43CBC25F" w14:textId="77777777" w:rsidR="009910CD" w:rsidRPr="00324C7E" w:rsidRDefault="00FC2690" w:rsidP="00324C7E">
      <w:pPr>
        <w:spacing w:before="119"/>
        <w:ind w:left="720"/>
        <w:rPr>
          <w:color w:val="231F20"/>
        </w:rPr>
      </w:pPr>
      <w:r>
        <w:rPr>
          <w:color w:val="231F20"/>
        </w:rPr>
        <w:t>2015—</w:t>
      </w:r>
      <w:r w:rsidRPr="002046B8">
        <w:rPr>
          <w:i/>
          <w:iCs/>
          <w:color w:val="231F20"/>
        </w:rPr>
        <w:t>Brown v.</w:t>
      </w:r>
      <w:r w:rsidR="00B64C57" w:rsidRPr="002046B8">
        <w:rPr>
          <w:i/>
          <w:iCs/>
          <w:color w:val="231F20"/>
        </w:rPr>
        <w:t xml:space="preserve"> </w:t>
      </w:r>
      <w:r w:rsidRPr="002046B8">
        <w:rPr>
          <w:i/>
          <w:iCs/>
          <w:color w:val="231F20"/>
        </w:rPr>
        <w:t>Jacobs</w:t>
      </w:r>
      <w:r>
        <w:rPr>
          <w:color w:val="231F20"/>
        </w:rPr>
        <w:t xml:space="preserve">, </w:t>
      </w:r>
      <w:r w:rsidR="00D47803" w:rsidRPr="00D47803">
        <w:rPr>
          <w:color w:val="231F20"/>
        </w:rPr>
        <w:t>289 Va. 209</w:t>
      </w:r>
      <w:r w:rsidR="00D47803">
        <w:rPr>
          <w:rFonts w:ascii="Georgia" w:hAnsi="Georgia"/>
          <w:color w:val="212121"/>
          <w:sz w:val="21"/>
          <w:szCs w:val="21"/>
        </w:rPr>
        <w:t xml:space="preserve">, </w:t>
      </w:r>
      <w:r>
        <w:rPr>
          <w:color w:val="231F20"/>
        </w:rPr>
        <w:t>768 S.E.2d 421.</w:t>
      </w:r>
    </w:p>
    <w:p w14:paraId="7AEC9657" w14:textId="77777777" w:rsidR="009910CD" w:rsidRPr="00C97952" w:rsidRDefault="00FC2690" w:rsidP="00CB4A05">
      <w:pPr>
        <w:pStyle w:val="BodyText"/>
        <w:spacing w:before="120" w:after="120"/>
        <w:ind w:left="1440"/>
        <w:jc w:val="both"/>
        <w:rPr>
          <w:color w:val="231F20"/>
        </w:rPr>
      </w:pPr>
      <w:r>
        <w:rPr>
          <w:color w:val="231F20"/>
        </w:rPr>
        <w:t>Wrongful death action where process server is killed by husband who is being served with suit papers in divorce action. The attorney who</w:t>
      </w:r>
      <w:r w:rsidRPr="00C97952">
        <w:rPr>
          <w:color w:val="231F20"/>
        </w:rPr>
        <w:t xml:space="preserve"> </w:t>
      </w:r>
      <w:r>
        <w:rPr>
          <w:color w:val="231F20"/>
        </w:rPr>
        <w:t>hired</w:t>
      </w:r>
      <w:r w:rsidRPr="00C97952">
        <w:rPr>
          <w:color w:val="231F20"/>
        </w:rPr>
        <w:t xml:space="preserve"> </w:t>
      </w:r>
      <w:r>
        <w:rPr>
          <w:color w:val="231F20"/>
        </w:rPr>
        <w:t>the</w:t>
      </w:r>
      <w:r w:rsidRPr="00C97952">
        <w:rPr>
          <w:color w:val="231F20"/>
        </w:rPr>
        <w:t xml:space="preserve"> </w:t>
      </w:r>
      <w:r>
        <w:rPr>
          <w:color w:val="231F20"/>
        </w:rPr>
        <w:t>process</w:t>
      </w:r>
      <w:r w:rsidRPr="00C97952">
        <w:rPr>
          <w:color w:val="231F20"/>
        </w:rPr>
        <w:t xml:space="preserve"> </w:t>
      </w:r>
      <w:r>
        <w:rPr>
          <w:color w:val="231F20"/>
        </w:rPr>
        <w:t>server</w:t>
      </w:r>
      <w:r w:rsidRPr="00C97952">
        <w:rPr>
          <w:color w:val="231F20"/>
        </w:rPr>
        <w:t xml:space="preserve"> </w:t>
      </w:r>
      <w:r>
        <w:rPr>
          <w:color w:val="231F20"/>
        </w:rPr>
        <w:t>did</w:t>
      </w:r>
      <w:r w:rsidRPr="00C97952">
        <w:rPr>
          <w:color w:val="231F20"/>
        </w:rPr>
        <w:t xml:space="preserve"> </w:t>
      </w:r>
      <w:r>
        <w:rPr>
          <w:color w:val="231F20"/>
        </w:rPr>
        <w:t>not</w:t>
      </w:r>
      <w:r w:rsidRPr="00C97952">
        <w:rPr>
          <w:color w:val="231F20"/>
        </w:rPr>
        <w:t xml:space="preserve"> </w:t>
      </w:r>
      <w:r>
        <w:rPr>
          <w:color w:val="231F20"/>
        </w:rPr>
        <w:t>warn</w:t>
      </w:r>
      <w:r w:rsidRPr="00C97952">
        <w:rPr>
          <w:color w:val="231F20"/>
        </w:rPr>
        <w:t xml:space="preserve"> </w:t>
      </w:r>
      <w:r>
        <w:rPr>
          <w:color w:val="231F20"/>
        </w:rPr>
        <w:t>the</w:t>
      </w:r>
      <w:r w:rsidRPr="00C97952">
        <w:rPr>
          <w:color w:val="231F20"/>
        </w:rPr>
        <w:t xml:space="preserve"> </w:t>
      </w:r>
      <w:r>
        <w:rPr>
          <w:color w:val="231F20"/>
        </w:rPr>
        <w:t>process</w:t>
      </w:r>
      <w:r w:rsidRPr="00C97952">
        <w:rPr>
          <w:color w:val="231F20"/>
        </w:rPr>
        <w:t xml:space="preserve"> </w:t>
      </w:r>
      <w:r>
        <w:rPr>
          <w:color w:val="231F20"/>
        </w:rPr>
        <w:t>server</w:t>
      </w:r>
      <w:r w:rsidRPr="00C97952">
        <w:rPr>
          <w:color w:val="231F20"/>
        </w:rPr>
        <w:t xml:space="preserve"> </w:t>
      </w:r>
      <w:r>
        <w:rPr>
          <w:color w:val="231F20"/>
        </w:rPr>
        <w:t>that</w:t>
      </w:r>
      <w:r w:rsidRPr="00C97952">
        <w:rPr>
          <w:color w:val="231F20"/>
        </w:rPr>
        <w:t xml:space="preserve"> </w:t>
      </w:r>
      <w:r>
        <w:rPr>
          <w:color w:val="231F20"/>
        </w:rPr>
        <w:t>the husband was armed. Trial court properly granted Demurrer due to absence of duty to warn in this</w:t>
      </w:r>
      <w:r w:rsidR="00B64C57">
        <w:rPr>
          <w:color w:val="231F20"/>
        </w:rPr>
        <w:t xml:space="preserve"> </w:t>
      </w:r>
      <w:r>
        <w:rPr>
          <w:color w:val="231F20"/>
        </w:rPr>
        <w:t>context.</w:t>
      </w:r>
    </w:p>
    <w:p w14:paraId="61509405"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1.11</w:t>
      </w:r>
      <w:r w:rsidRPr="00324C7E">
        <w:rPr>
          <w:color w:val="231F20"/>
        </w:rPr>
        <w:tab/>
      </w:r>
      <w:r>
        <w:rPr>
          <w:color w:val="231F20"/>
        </w:rPr>
        <w:t>Economic Loss</w:t>
      </w:r>
      <w:r w:rsidRPr="00324C7E">
        <w:rPr>
          <w:color w:val="231F20"/>
        </w:rPr>
        <w:t xml:space="preserve"> </w:t>
      </w:r>
      <w:r>
        <w:rPr>
          <w:color w:val="231F20"/>
        </w:rPr>
        <w:t>Rule</w:t>
      </w:r>
    </w:p>
    <w:p w14:paraId="6B4B6CF0" w14:textId="77777777" w:rsidR="009910CD" w:rsidRPr="00324C7E" w:rsidRDefault="00FC2690" w:rsidP="00324C7E">
      <w:pPr>
        <w:spacing w:before="119"/>
        <w:ind w:left="720"/>
        <w:rPr>
          <w:color w:val="231F20"/>
        </w:rPr>
      </w:pPr>
      <w:r>
        <w:rPr>
          <w:color w:val="231F20"/>
        </w:rPr>
        <w:t>2010—</w:t>
      </w:r>
      <w:r w:rsidRPr="002046B8">
        <w:rPr>
          <w:i/>
          <w:iCs/>
          <w:color w:val="231F20"/>
        </w:rPr>
        <w:t>Abi-Najm v.</w:t>
      </w:r>
      <w:r w:rsidR="00B64C57" w:rsidRPr="002046B8">
        <w:rPr>
          <w:i/>
          <w:iCs/>
          <w:color w:val="231F20"/>
        </w:rPr>
        <w:t xml:space="preserve"> </w:t>
      </w:r>
      <w:r w:rsidRPr="002046B8">
        <w:rPr>
          <w:i/>
          <w:iCs/>
          <w:color w:val="231F20"/>
        </w:rPr>
        <w:t>Concord Condominium, LLC</w:t>
      </w:r>
      <w:r>
        <w:rPr>
          <w:color w:val="231F20"/>
        </w:rPr>
        <w:t>, 280 Va.</w:t>
      </w:r>
      <w:r w:rsidR="00B64C57">
        <w:rPr>
          <w:color w:val="231F20"/>
        </w:rPr>
        <w:t xml:space="preserve"> </w:t>
      </w:r>
      <w:r>
        <w:rPr>
          <w:color w:val="231F20"/>
        </w:rPr>
        <w:t>350, 699</w:t>
      </w:r>
      <w:r w:rsidR="00BD498B">
        <w:rPr>
          <w:color w:val="231F20"/>
        </w:rPr>
        <w:t xml:space="preserve"> S.E.</w:t>
      </w:r>
      <w:r>
        <w:rPr>
          <w:color w:val="231F20"/>
        </w:rPr>
        <w:t>2d</w:t>
      </w:r>
      <w:r w:rsidRPr="00324C7E">
        <w:rPr>
          <w:color w:val="231F20"/>
        </w:rPr>
        <w:t xml:space="preserve"> </w:t>
      </w:r>
      <w:r>
        <w:rPr>
          <w:color w:val="231F20"/>
        </w:rPr>
        <w:t>483.</w:t>
      </w:r>
    </w:p>
    <w:p w14:paraId="479F2D52" w14:textId="77777777" w:rsidR="009910CD" w:rsidRPr="00A55ED9" w:rsidRDefault="00FC2690" w:rsidP="00CB4A05">
      <w:pPr>
        <w:pStyle w:val="BodyText"/>
        <w:spacing w:before="120" w:after="120"/>
        <w:ind w:left="1440"/>
        <w:jc w:val="both"/>
        <w:rPr>
          <w:color w:val="231F20"/>
        </w:rPr>
      </w:pPr>
      <w:r>
        <w:rPr>
          <w:color w:val="231F20"/>
        </w:rPr>
        <w:t>Trial</w:t>
      </w:r>
      <w:r w:rsidRPr="00A55ED9">
        <w:rPr>
          <w:color w:val="231F20"/>
        </w:rPr>
        <w:t xml:space="preserve"> </w:t>
      </w:r>
      <w:r w:rsidR="00AE3B68">
        <w:rPr>
          <w:color w:val="231F20"/>
        </w:rPr>
        <w:t>c</w:t>
      </w:r>
      <w:r>
        <w:rPr>
          <w:color w:val="231F20"/>
        </w:rPr>
        <w:t>ourt</w:t>
      </w:r>
      <w:r w:rsidRPr="00A55ED9">
        <w:rPr>
          <w:color w:val="231F20"/>
        </w:rPr>
        <w:t xml:space="preserve"> </w:t>
      </w:r>
      <w:r>
        <w:rPr>
          <w:color w:val="231F20"/>
        </w:rPr>
        <w:t>improperly</w:t>
      </w:r>
      <w:r w:rsidRPr="00A55ED9">
        <w:rPr>
          <w:color w:val="231F20"/>
        </w:rPr>
        <w:t xml:space="preserve"> </w:t>
      </w:r>
      <w:r>
        <w:rPr>
          <w:color w:val="231F20"/>
        </w:rPr>
        <w:t>granted</w:t>
      </w:r>
      <w:r w:rsidRPr="00A55ED9">
        <w:rPr>
          <w:color w:val="231F20"/>
        </w:rPr>
        <w:t xml:space="preserve"> </w:t>
      </w:r>
      <w:r>
        <w:rPr>
          <w:color w:val="231F20"/>
        </w:rPr>
        <w:t>demurrer</w:t>
      </w:r>
      <w:r w:rsidRPr="00A55ED9">
        <w:rPr>
          <w:color w:val="231F20"/>
        </w:rPr>
        <w:t xml:space="preserve"> </w:t>
      </w:r>
      <w:r>
        <w:rPr>
          <w:color w:val="231F20"/>
        </w:rPr>
        <w:t>based</w:t>
      </w:r>
      <w:r w:rsidRPr="00A55ED9">
        <w:rPr>
          <w:color w:val="231F20"/>
        </w:rPr>
        <w:t xml:space="preserve"> </w:t>
      </w:r>
      <w:r>
        <w:rPr>
          <w:color w:val="231F20"/>
        </w:rPr>
        <w:t>upon</w:t>
      </w:r>
      <w:r w:rsidRPr="00A55ED9">
        <w:rPr>
          <w:color w:val="231F20"/>
        </w:rPr>
        <w:t xml:space="preserve"> </w:t>
      </w:r>
      <w:r>
        <w:rPr>
          <w:color w:val="231F20"/>
        </w:rPr>
        <w:t>Economic</w:t>
      </w:r>
      <w:r w:rsidRPr="00A55ED9">
        <w:rPr>
          <w:color w:val="231F20"/>
        </w:rPr>
        <w:t xml:space="preserve"> </w:t>
      </w:r>
      <w:r>
        <w:rPr>
          <w:color w:val="231F20"/>
        </w:rPr>
        <w:t>Loss Rule where plaintiffs had pled duties that gave rise to economic damages that were independent of the agreement between the parties.</w:t>
      </w:r>
      <w:r w:rsidRPr="00A55ED9">
        <w:rPr>
          <w:color w:val="231F20"/>
        </w:rPr>
        <w:t xml:space="preserve"> </w:t>
      </w:r>
      <w:r>
        <w:rPr>
          <w:color w:val="231F20"/>
        </w:rPr>
        <w:t>In</w:t>
      </w:r>
      <w:r w:rsidRPr="00A55ED9">
        <w:rPr>
          <w:color w:val="231F20"/>
        </w:rPr>
        <w:t xml:space="preserve"> </w:t>
      </w:r>
      <w:r>
        <w:rPr>
          <w:color w:val="231F20"/>
        </w:rPr>
        <w:t>this</w:t>
      </w:r>
      <w:r w:rsidRPr="00A55ED9">
        <w:rPr>
          <w:color w:val="231F20"/>
        </w:rPr>
        <w:t xml:space="preserve"> </w:t>
      </w:r>
      <w:r>
        <w:rPr>
          <w:color w:val="231F20"/>
        </w:rPr>
        <w:t>case,</w:t>
      </w:r>
      <w:r w:rsidRPr="00A55ED9">
        <w:rPr>
          <w:color w:val="231F20"/>
        </w:rPr>
        <w:t xml:space="preserve"> </w:t>
      </w:r>
      <w:r>
        <w:rPr>
          <w:color w:val="231F20"/>
        </w:rPr>
        <w:t>the</w:t>
      </w:r>
      <w:r w:rsidRPr="00A55ED9">
        <w:rPr>
          <w:color w:val="231F20"/>
        </w:rPr>
        <w:t xml:space="preserve"> </w:t>
      </w:r>
      <w:r>
        <w:rPr>
          <w:color w:val="231F20"/>
        </w:rPr>
        <w:t>economic</w:t>
      </w:r>
      <w:r w:rsidRPr="00A55ED9">
        <w:rPr>
          <w:color w:val="231F20"/>
        </w:rPr>
        <w:t xml:space="preserve"> </w:t>
      </w:r>
      <w:r>
        <w:rPr>
          <w:color w:val="231F20"/>
        </w:rPr>
        <w:t>losses</w:t>
      </w:r>
      <w:r w:rsidRPr="00A55ED9">
        <w:rPr>
          <w:color w:val="231F20"/>
        </w:rPr>
        <w:t xml:space="preserve"> </w:t>
      </w:r>
      <w:r>
        <w:rPr>
          <w:color w:val="231F20"/>
        </w:rPr>
        <w:t>flowed</w:t>
      </w:r>
      <w:r w:rsidRPr="00A55ED9">
        <w:rPr>
          <w:color w:val="231F20"/>
        </w:rPr>
        <w:t xml:space="preserve"> </w:t>
      </w:r>
      <w:r>
        <w:rPr>
          <w:color w:val="231F20"/>
        </w:rPr>
        <w:t>from</w:t>
      </w:r>
      <w:r w:rsidRPr="00A55ED9">
        <w:rPr>
          <w:color w:val="231F20"/>
        </w:rPr>
        <w:t xml:space="preserve"> </w:t>
      </w:r>
      <w:r>
        <w:rPr>
          <w:color w:val="231F20"/>
        </w:rPr>
        <w:t>a</w:t>
      </w:r>
      <w:r w:rsidRPr="00A55ED9">
        <w:rPr>
          <w:color w:val="231F20"/>
        </w:rPr>
        <w:t xml:space="preserve"> </w:t>
      </w:r>
      <w:r>
        <w:rPr>
          <w:color w:val="231F20"/>
        </w:rPr>
        <w:t>breach</w:t>
      </w:r>
      <w:r w:rsidRPr="00A55ED9">
        <w:rPr>
          <w:color w:val="231F20"/>
        </w:rPr>
        <w:t xml:space="preserve"> </w:t>
      </w:r>
      <w:r>
        <w:rPr>
          <w:color w:val="231F20"/>
        </w:rPr>
        <w:t>of</w:t>
      </w:r>
      <w:r w:rsidRPr="00A55ED9">
        <w:rPr>
          <w:color w:val="231F20"/>
        </w:rPr>
        <w:t xml:space="preserve"> </w:t>
      </w:r>
      <w:r>
        <w:rPr>
          <w:color w:val="231F20"/>
        </w:rPr>
        <w:t xml:space="preserve">the </w:t>
      </w:r>
      <w:r w:rsidRPr="00A55ED9">
        <w:rPr>
          <w:color w:val="231F20"/>
        </w:rPr>
        <w:t xml:space="preserve">Virginia </w:t>
      </w:r>
      <w:r>
        <w:rPr>
          <w:color w:val="231F20"/>
        </w:rPr>
        <w:t>Consumer Protection Act and also from fraud in the inducement.</w:t>
      </w:r>
    </w:p>
    <w:p w14:paraId="409A7FA0"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1.15</w:t>
      </w:r>
      <w:r>
        <w:rPr>
          <w:color w:val="231F20"/>
        </w:rPr>
        <w:tab/>
        <w:t>Gross</w:t>
      </w:r>
      <w:r w:rsidRPr="00324C7E">
        <w:rPr>
          <w:color w:val="231F20"/>
        </w:rPr>
        <w:t xml:space="preserve"> </w:t>
      </w:r>
      <w:r>
        <w:rPr>
          <w:color w:val="231F20"/>
        </w:rPr>
        <w:t>Negligence</w:t>
      </w:r>
    </w:p>
    <w:p w14:paraId="2D89539E" w14:textId="77777777" w:rsidR="00E439AA" w:rsidRDefault="00E439AA" w:rsidP="00E439AA">
      <w:pPr>
        <w:spacing w:before="126"/>
        <w:ind w:left="720"/>
      </w:pPr>
      <w:r>
        <w:rPr>
          <w:color w:val="231F20"/>
        </w:rPr>
        <w:t>2024—</w:t>
      </w:r>
      <w:r>
        <w:rPr>
          <w:i/>
          <w:color w:val="231F20"/>
        </w:rPr>
        <w:t>Howard v. Harris</w:t>
      </w:r>
      <w:r>
        <w:rPr>
          <w:color w:val="231F20"/>
        </w:rPr>
        <w:t>, 80 Va. App. 365, 897 S.E.2d 742.</w:t>
      </w:r>
    </w:p>
    <w:p w14:paraId="0859AD6B" w14:textId="0A95FEC3" w:rsidR="00E439AA" w:rsidRDefault="00E439AA" w:rsidP="00E439AA">
      <w:pPr>
        <w:pStyle w:val="BodyText"/>
        <w:spacing w:before="120" w:after="120"/>
        <w:ind w:left="1440"/>
        <w:jc w:val="both"/>
        <w:rPr>
          <w:color w:val="231F20"/>
        </w:rPr>
      </w:pPr>
      <w:r>
        <w:rPr>
          <w:color w:val="231F20"/>
        </w:rPr>
        <w:t xml:space="preserve">Arrestee, while in back of police vehicle, managed to get free of his handcuffs, obtained loaded gun from front seat of police vehicle and shot himself. Whether the actions of the police amounted to gross negligence was a jury issue. Whether the plaintiff was of unsound mind and therefore had requisite </w:t>
      </w:r>
      <w:r w:rsidRPr="00E439AA">
        <w:rPr>
          <w:i/>
          <w:iCs/>
          <w:color w:val="231F20"/>
        </w:rPr>
        <w:t>mens rea</w:t>
      </w:r>
      <w:r>
        <w:rPr>
          <w:color w:val="231F20"/>
        </w:rPr>
        <w:t xml:space="preserve"> to have violated firearms statute was likewise a jury issue. </w:t>
      </w:r>
      <w:r w:rsidR="009E1B17">
        <w:rPr>
          <w:color w:val="231F20"/>
        </w:rPr>
        <w:t xml:space="preserve">Gross negligence must be evaluated based upon the totality of the evidence and not just whether the defendant exercised some degree of care initially. </w:t>
      </w:r>
    </w:p>
    <w:p w14:paraId="5DB3CEA3" w14:textId="77777777" w:rsidR="00E439AA" w:rsidRDefault="00E439AA" w:rsidP="00E439AA">
      <w:pPr>
        <w:pStyle w:val="Heading4"/>
        <w:tabs>
          <w:tab w:val="left" w:pos="1170"/>
        </w:tabs>
        <w:ind w:left="720"/>
        <w:rPr>
          <w:b w:val="0"/>
          <w:bCs w:val="0"/>
          <w:color w:val="231F20"/>
        </w:rPr>
      </w:pPr>
      <w:r>
        <w:rPr>
          <w:b w:val="0"/>
          <w:bCs w:val="0"/>
          <w:color w:val="231F20"/>
        </w:rPr>
        <w:t>2022</w:t>
      </w:r>
      <w:r>
        <w:rPr>
          <w:color w:val="231F20"/>
        </w:rPr>
        <w:t>—</w:t>
      </w:r>
      <w:r>
        <w:rPr>
          <w:b w:val="0"/>
          <w:bCs w:val="0"/>
          <w:i/>
          <w:iCs/>
          <w:color w:val="231F20"/>
        </w:rPr>
        <w:t>Patterson</w:t>
      </w:r>
      <w:r w:rsidRPr="007A00D1">
        <w:rPr>
          <w:b w:val="0"/>
          <w:bCs w:val="0"/>
          <w:i/>
          <w:iCs/>
          <w:color w:val="231F20"/>
        </w:rPr>
        <w:t xml:space="preserve"> v. City of </w:t>
      </w:r>
      <w:r>
        <w:rPr>
          <w:b w:val="0"/>
          <w:bCs w:val="0"/>
          <w:i/>
          <w:iCs/>
          <w:color w:val="231F20"/>
        </w:rPr>
        <w:t>Danville</w:t>
      </w:r>
      <w:r>
        <w:rPr>
          <w:b w:val="0"/>
          <w:bCs w:val="0"/>
          <w:color w:val="231F20"/>
        </w:rPr>
        <w:t>, 875 S.E.2d 65.</w:t>
      </w:r>
    </w:p>
    <w:p w14:paraId="560B33C2" w14:textId="77777777" w:rsidR="00E439AA" w:rsidRDefault="00E439AA" w:rsidP="00E439AA">
      <w:pPr>
        <w:pStyle w:val="Heading4"/>
        <w:tabs>
          <w:tab w:val="left" w:pos="1170"/>
        </w:tabs>
        <w:ind w:left="1440"/>
        <w:jc w:val="both"/>
        <w:rPr>
          <w:b w:val="0"/>
          <w:bCs w:val="0"/>
          <w:color w:val="231F20"/>
        </w:rPr>
      </w:pPr>
      <w:r>
        <w:rPr>
          <w:b w:val="0"/>
          <w:bCs w:val="0"/>
          <w:color w:val="231F20"/>
        </w:rPr>
        <w:t xml:space="preserve">Medical malpractice action against physician employed to render care to inmates at city jail.  Physician enjoys same immunity as the municipality i.e., for governmental </w:t>
      </w:r>
      <w:proofErr w:type="gramStart"/>
      <w:r>
        <w:rPr>
          <w:b w:val="0"/>
          <w:bCs w:val="0"/>
          <w:color w:val="231F20"/>
        </w:rPr>
        <w:t>function</w:t>
      </w:r>
      <w:proofErr w:type="gramEnd"/>
      <w:r>
        <w:rPr>
          <w:b w:val="0"/>
          <w:bCs w:val="0"/>
          <w:color w:val="231F20"/>
        </w:rPr>
        <w:t xml:space="preserve"> and governmental function is one exclusively for the public welfare.  In looking at the immunity of the employees, the court looks at four factors: the nature of the function, the extent of the employer’s involvement, degree of control exercised and whether the act complained of involves discretion.  In this case, physician is immune.  Gross negligence claim dismissed on demurrer as failing to allege sufficient facts. </w:t>
      </w:r>
    </w:p>
    <w:p w14:paraId="021EF8FE" w14:textId="32AE2F13" w:rsidR="009109D6" w:rsidRPr="00324C7E" w:rsidRDefault="009109D6" w:rsidP="00324C7E">
      <w:pPr>
        <w:spacing w:before="119"/>
        <w:ind w:left="720"/>
        <w:rPr>
          <w:color w:val="231F20"/>
        </w:rPr>
      </w:pPr>
      <w:r>
        <w:rPr>
          <w:color w:val="231F20"/>
        </w:rPr>
        <w:t>2016—</w:t>
      </w:r>
      <w:r w:rsidRPr="002046B8">
        <w:rPr>
          <w:i/>
          <w:iCs/>
          <w:color w:val="231F20"/>
        </w:rPr>
        <w:t>Elliott v. Carter</w:t>
      </w:r>
      <w:r>
        <w:rPr>
          <w:color w:val="231F20"/>
        </w:rPr>
        <w:t>, 292 Va. 618, 791 S.E.2d 730.</w:t>
      </w:r>
    </w:p>
    <w:p w14:paraId="7942CFE8" w14:textId="77777777" w:rsidR="009109D6" w:rsidRPr="00A55ED9" w:rsidRDefault="00ED074F" w:rsidP="00CB4A05">
      <w:pPr>
        <w:pStyle w:val="BodyText"/>
        <w:spacing w:before="120" w:after="120"/>
        <w:ind w:left="1440"/>
        <w:jc w:val="both"/>
        <w:rPr>
          <w:color w:val="231F20"/>
        </w:rPr>
      </w:pPr>
      <w:r>
        <w:rPr>
          <w:color w:val="231F20"/>
        </w:rPr>
        <w:t xml:space="preserve">In this wrongful death drowning case against a Boy Scout leader the fact that the leader exercised some degree of care in supervising the decedent means that there was no gross negligence.  </w:t>
      </w:r>
    </w:p>
    <w:p w14:paraId="6378A456" w14:textId="77777777" w:rsidR="00330E33" w:rsidRDefault="00330E33" w:rsidP="00324C7E">
      <w:pPr>
        <w:spacing w:before="119"/>
        <w:ind w:left="720"/>
        <w:rPr>
          <w:color w:val="231F20"/>
        </w:rPr>
      </w:pPr>
    </w:p>
    <w:p w14:paraId="132EFADC" w14:textId="29775EB2" w:rsidR="009910CD" w:rsidRPr="00324C7E" w:rsidRDefault="00FC2690" w:rsidP="00324C7E">
      <w:pPr>
        <w:spacing w:before="119"/>
        <w:ind w:left="720"/>
        <w:rPr>
          <w:color w:val="231F20"/>
        </w:rPr>
      </w:pPr>
      <w:r>
        <w:rPr>
          <w:color w:val="231F20"/>
        </w:rPr>
        <w:lastRenderedPageBreak/>
        <w:t>2011—</w:t>
      </w:r>
      <w:r w:rsidRPr="002046B8">
        <w:rPr>
          <w:i/>
          <w:iCs/>
          <w:color w:val="231F20"/>
        </w:rPr>
        <w:t>Volpe v.</w:t>
      </w:r>
      <w:r w:rsidR="00B64C57" w:rsidRPr="002046B8">
        <w:rPr>
          <w:i/>
          <w:iCs/>
          <w:color w:val="231F20"/>
        </w:rPr>
        <w:t xml:space="preserve"> </w:t>
      </w:r>
      <w:r w:rsidRPr="002046B8">
        <w:rPr>
          <w:i/>
          <w:iCs/>
          <w:color w:val="231F20"/>
        </w:rPr>
        <w:t>City of Lexington</w:t>
      </w:r>
      <w:r>
        <w:rPr>
          <w:color w:val="231F20"/>
        </w:rPr>
        <w:t>, 281 Va.</w:t>
      </w:r>
      <w:r w:rsidR="00B64C57">
        <w:rPr>
          <w:color w:val="231F20"/>
        </w:rPr>
        <w:t xml:space="preserve"> </w:t>
      </w:r>
      <w:r>
        <w:rPr>
          <w:color w:val="231F20"/>
        </w:rPr>
        <w:t>630, 708 S.E.2d</w:t>
      </w:r>
      <w:r w:rsidR="00B64C57">
        <w:rPr>
          <w:color w:val="231F20"/>
        </w:rPr>
        <w:t xml:space="preserve"> </w:t>
      </w:r>
      <w:r>
        <w:rPr>
          <w:color w:val="231F20"/>
        </w:rPr>
        <w:t>824.</w:t>
      </w:r>
    </w:p>
    <w:p w14:paraId="0C5A92FB" w14:textId="77777777" w:rsidR="009910CD" w:rsidRPr="00A55ED9" w:rsidRDefault="00FC2690" w:rsidP="00CB4A05">
      <w:pPr>
        <w:pStyle w:val="BodyText"/>
        <w:spacing w:before="120" w:after="120"/>
        <w:ind w:left="1440"/>
        <w:jc w:val="both"/>
        <w:rPr>
          <w:color w:val="231F20"/>
        </w:rPr>
      </w:pPr>
      <w:r>
        <w:rPr>
          <w:color w:val="231F20"/>
        </w:rPr>
        <w:t>Child drowned in river that was designated as a city par</w:t>
      </w:r>
      <w:r w:rsidR="00AE3B68">
        <w:rPr>
          <w:color w:val="231F20"/>
        </w:rPr>
        <w:t>k designed for swimming. Trial c</w:t>
      </w:r>
      <w:r>
        <w:rPr>
          <w:color w:val="231F20"/>
        </w:rPr>
        <w:t>ourt incorrectly held that dangerous current was open and obvious condition. Al</w:t>
      </w:r>
      <w:r w:rsidR="004871D1">
        <w:rPr>
          <w:color w:val="231F20"/>
        </w:rPr>
        <w:t>though the potential dangerous</w:t>
      </w:r>
      <w:r>
        <w:rPr>
          <w:color w:val="231F20"/>
        </w:rPr>
        <w:t>ness of the water itself may have been open and obvious, what was not open and obvious was the dangerous current which created a hydraulic</w:t>
      </w:r>
      <w:r w:rsidRPr="00A55ED9">
        <w:rPr>
          <w:color w:val="231F20"/>
        </w:rPr>
        <w:t xml:space="preserve"> </w:t>
      </w:r>
      <w:r>
        <w:rPr>
          <w:color w:val="231F20"/>
        </w:rPr>
        <w:t>beneath</w:t>
      </w:r>
      <w:r w:rsidRPr="00A55ED9">
        <w:rPr>
          <w:color w:val="231F20"/>
        </w:rPr>
        <w:t xml:space="preserve"> </w:t>
      </w:r>
      <w:r>
        <w:rPr>
          <w:color w:val="231F20"/>
        </w:rPr>
        <w:t>the</w:t>
      </w:r>
      <w:r w:rsidRPr="00A55ED9">
        <w:rPr>
          <w:color w:val="231F20"/>
        </w:rPr>
        <w:t xml:space="preserve"> </w:t>
      </w:r>
      <w:r>
        <w:rPr>
          <w:color w:val="231F20"/>
        </w:rPr>
        <w:t>water</w:t>
      </w:r>
      <w:r w:rsidRPr="00A55ED9">
        <w:rPr>
          <w:color w:val="231F20"/>
        </w:rPr>
        <w:t xml:space="preserve"> </w:t>
      </w:r>
      <w:r>
        <w:rPr>
          <w:color w:val="231F20"/>
        </w:rPr>
        <w:t>surface.</w:t>
      </w:r>
      <w:r w:rsidRPr="00A55ED9">
        <w:rPr>
          <w:color w:val="231F20"/>
        </w:rPr>
        <w:t xml:space="preserve"> </w:t>
      </w:r>
      <w:r>
        <w:rPr>
          <w:color w:val="231F20"/>
        </w:rPr>
        <w:t>Jury</w:t>
      </w:r>
      <w:r w:rsidRPr="00A55ED9">
        <w:rPr>
          <w:color w:val="231F20"/>
        </w:rPr>
        <w:t xml:space="preserve"> </w:t>
      </w:r>
      <w:r>
        <w:rPr>
          <w:color w:val="231F20"/>
        </w:rPr>
        <w:t>issue</w:t>
      </w:r>
      <w:r w:rsidRPr="00A55ED9">
        <w:rPr>
          <w:color w:val="231F20"/>
        </w:rPr>
        <w:t xml:space="preserve"> </w:t>
      </w:r>
      <w:r>
        <w:rPr>
          <w:color w:val="231F20"/>
        </w:rPr>
        <w:t>likewise</w:t>
      </w:r>
      <w:r w:rsidRPr="00A55ED9">
        <w:rPr>
          <w:color w:val="231F20"/>
        </w:rPr>
        <w:t xml:space="preserve"> </w:t>
      </w:r>
      <w:r>
        <w:rPr>
          <w:color w:val="231F20"/>
        </w:rPr>
        <w:t>created</w:t>
      </w:r>
      <w:r w:rsidRPr="00A55ED9">
        <w:rPr>
          <w:color w:val="231F20"/>
        </w:rPr>
        <w:t xml:space="preserve"> </w:t>
      </w:r>
      <w:r>
        <w:rPr>
          <w:color w:val="231F20"/>
        </w:rPr>
        <w:t>as</w:t>
      </w:r>
      <w:r w:rsidRPr="00A55ED9">
        <w:rPr>
          <w:color w:val="231F20"/>
        </w:rPr>
        <w:t xml:space="preserve"> </w:t>
      </w:r>
      <w:r>
        <w:rPr>
          <w:color w:val="231F20"/>
        </w:rPr>
        <w:t>to whether or not this condition constituted a form of recklessness or total disregard of precautions amounting to gross negligence on the part</w:t>
      </w:r>
      <w:r w:rsidRPr="00A55ED9">
        <w:rPr>
          <w:color w:val="231F20"/>
        </w:rPr>
        <w:t xml:space="preserve"> </w:t>
      </w:r>
      <w:r>
        <w:rPr>
          <w:color w:val="231F20"/>
        </w:rPr>
        <w:t>of</w:t>
      </w:r>
      <w:r w:rsidRPr="00A55ED9">
        <w:rPr>
          <w:color w:val="231F20"/>
        </w:rPr>
        <w:t xml:space="preserve"> </w:t>
      </w:r>
      <w:r>
        <w:rPr>
          <w:color w:val="231F20"/>
        </w:rPr>
        <w:t>the</w:t>
      </w:r>
      <w:r w:rsidRPr="00A55ED9">
        <w:rPr>
          <w:color w:val="231F20"/>
        </w:rPr>
        <w:t xml:space="preserve"> City. </w:t>
      </w:r>
      <w:r>
        <w:rPr>
          <w:color w:val="231F20"/>
        </w:rPr>
        <w:t>As</w:t>
      </w:r>
      <w:r w:rsidRPr="00A55ED9">
        <w:rPr>
          <w:color w:val="231F20"/>
        </w:rPr>
        <w:t xml:space="preserve"> </w:t>
      </w:r>
      <w:r>
        <w:rPr>
          <w:color w:val="231F20"/>
        </w:rPr>
        <w:t>a</w:t>
      </w:r>
      <w:r w:rsidRPr="00A55ED9">
        <w:rPr>
          <w:color w:val="231F20"/>
        </w:rPr>
        <w:t xml:space="preserve"> </w:t>
      </w:r>
      <w:r>
        <w:rPr>
          <w:color w:val="231F20"/>
        </w:rPr>
        <w:t>matter</w:t>
      </w:r>
      <w:r w:rsidRPr="00A55ED9">
        <w:rPr>
          <w:color w:val="231F20"/>
        </w:rPr>
        <w:t xml:space="preserve"> </w:t>
      </w:r>
      <w:r>
        <w:rPr>
          <w:color w:val="231F20"/>
        </w:rPr>
        <w:t>of</w:t>
      </w:r>
      <w:r w:rsidRPr="00A55ED9">
        <w:rPr>
          <w:color w:val="231F20"/>
        </w:rPr>
        <w:t xml:space="preserve"> law, </w:t>
      </w:r>
      <w:r>
        <w:rPr>
          <w:color w:val="231F20"/>
        </w:rPr>
        <w:t>however,</w:t>
      </w:r>
      <w:r w:rsidRPr="00A55ED9">
        <w:rPr>
          <w:color w:val="231F20"/>
        </w:rPr>
        <w:t xml:space="preserve"> </w:t>
      </w:r>
      <w:r>
        <w:rPr>
          <w:color w:val="231F20"/>
        </w:rPr>
        <w:t>this</w:t>
      </w:r>
      <w:r w:rsidRPr="00A55ED9">
        <w:rPr>
          <w:color w:val="231F20"/>
        </w:rPr>
        <w:t xml:space="preserve"> </w:t>
      </w:r>
      <w:r>
        <w:rPr>
          <w:color w:val="231F20"/>
        </w:rPr>
        <w:t>conduct</w:t>
      </w:r>
      <w:r w:rsidRPr="00A55ED9">
        <w:rPr>
          <w:color w:val="231F20"/>
        </w:rPr>
        <w:t xml:space="preserve"> </w:t>
      </w:r>
      <w:r>
        <w:rPr>
          <w:color w:val="231F20"/>
        </w:rPr>
        <w:t>on</w:t>
      </w:r>
      <w:r w:rsidRPr="00A55ED9">
        <w:rPr>
          <w:color w:val="231F20"/>
        </w:rPr>
        <w:t xml:space="preserve"> </w:t>
      </w:r>
      <w:r>
        <w:rPr>
          <w:color w:val="231F20"/>
        </w:rPr>
        <w:t>the</w:t>
      </w:r>
      <w:r w:rsidRPr="00A55ED9">
        <w:rPr>
          <w:color w:val="231F20"/>
        </w:rPr>
        <w:t xml:space="preserve"> </w:t>
      </w:r>
      <w:r>
        <w:rPr>
          <w:color w:val="231F20"/>
        </w:rPr>
        <w:t>part of</w:t>
      </w:r>
      <w:r w:rsidRPr="00A55ED9">
        <w:rPr>
          <w:color w:val="231F20"/>
        </w:rPr>
        <w:t xml:space="preserve"> </w:t>
      </w:r>
      <w:r>
        <w:rPr>
          <w:color w:val="231F20"/>
        </w:rPr>
        <w:t>the</w:t>
      </w:r>
      <w:r w:rsidRPr="00A55ED9">
        <w:rPr>
          <w:color w:val="231F20"/>
        </w:rPr>
        <w:t xml:space="preserve"> </w:t>
      </w:r>
      <w:r>
        <w:rPr>
          <w:color w:val="231F20"/>
        </w:rPr>
        <w:t>City</w:t>
      </w:r>
      <w:r w:rsidRPr="00A55ED9">
        <w:rPr>
          <w:color w:val="231F20"/>
        </w:rPr>
        <w:t xml:space="preserve"> </w:t>
      </w:r>
      <w:r>
        <w:rPr>
          <w:color w:val="231F20"/>
        </w:rPr>
        <w:t>did</w:t>
      </w:r>
      <w:r w:rsidRPr="00A55ED9">
        <w:rPr>
          <w:color w:val="231F20"/>
        </w:rPr>
        <w:t xml:space="preserve"> </w:t>
      </w:r>
      <w:r>
        <w:rPr>
          <w:color w:val="231F20"/>
        </w:rPr>
        <w:t>not</w:t>
      </w:r>
      <w:r w:rsidRPr="00A55ED9">
        <w:rPr>
          <w:color w:val="231F20"/>
        </w:rPr>
        <w:t xml:space="preserve"> </w:t>
      </w:r>
      <w:r>
        <w:rPr>
          <w:color w:val="231F20"/>
        </w:rPr>
        <w:t>rise</w:t>
      </w:r>
      <w:r w:rsidRPr="00A55ED9">
        <w:rPr>
          <w:color w:val="231F20"/>
        </w:rPr>
        <w:t xml:space="preserve"> </w:t>
      </w:r>
      <w:r>
        <w:rPr>
          <w:color w:val="231F20"/>
        </w:rPr>
        <w:t>to</w:t>
      </w:r>
      <w:r w:rsidRPr="00A55ED9">
        <w:rPr>
          <w:color w:val="231F20"/>
        </w:rPr>
        <w:t xml:space="preserve"> </w:t>
      </w:r>
      <w:r>
        <w:rPr>
          <w:color w:val="231F20"/>
        </w:rPr>
        <w:t>the</w:t>
      </w:r>
      <w:r w:rsidRPr="00A55ED9">
        <w:rPr>
          <w:color w:val="231F20"/>
        </w:rPr>
        <w:t xml:space="preserve"> </w:t>
      </w:r>
      <w:r>
        <w:rPr>
          <w:color w:val="231F20"/>
        </w:rPr>
        <w:t>level</w:t>
      </w:r>
      <w:r w:rsidRPr="00A55ED9">
        <w:rPr>
          <w:color w:val="231F20"/>
        </w:rPr>
        <w:t xml:space="preserve"> </w:t>
      </w:r>
      <w:r>
        <w:rPr>
          <w:color w:val="231F20"/>
        </w:rPr>
        <w:t>of</w:t>
      </w:r>
      <w:r w:rsidRPr="00A55ED9">
        <w:rPr>
          <w:color w:val="231F20"/>
        </w:rPr>
        <w:t xml:space="preserve"> </w:t>
      </w:r>
      <w:r>
        <w:rPr>
          <w:color w:val="231F20"/>
        </w:rPr>
        <w:t>willful</w:t>
      </w:r>
      <w:r w:rsidRPr="00A55ED9">
        <w:rPr>
          <w:color w:val="231F20"/>
        </w:rPr>
        <w:t xml:space="preserve"> </w:t>
      </w:r>
      <w:r>
        <w:rPr>
          <w:color w:val="231F20"/>
        </w:rPr>
        <w:t>and</w:t>
      </w:r>
      <w:r w:rsidRPr="00A55ED9">
        <w:rPr>
          <w:color w:val="231F20"/>
        </w:rPr>
        <w:t xml:space="preserve"> </w:t>
      </w:r>
      <w:r>
        <w:rPr>
          <w:color w:val="231F20"/>
        </w:rPr>
        <w:t>wanton</w:t>
      </w:r>
      <w:r w:rsidRPr="00A55ED9">
        <w:rPr>
          <w:color w:val="231F20"/>
        </w:rPr>
        <w:t xml:space="preserve"> </w:t>
      </w:r>
      <w:r>
        <w:rPr>
          <w:color w:val="231F20"/>
        </w:rPr>
        <w:t>negligence.</w:t>
      </w:r>
    </w:p>
    <w:p w14:paraId="09C55E7C" w14:textId="3F753DF3"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1.24</w:t>
      </w:r>
      <w:r>
        <w:rPr>
          <w:color w:val="231F20"/>
        </w:rPr>
        <w:tab/>
        <w:t>Limitation of</w:t>
      </w:r>
      <w:r w:rsidRPr="00324C7E">
        <w:rPr>
          <w:color w:val="231F20"/>
        </w:rPr>
        <w:t xml:space="preserve"> </w:t>
      </w:r>
      <w:r>
        <w:rPr>
          <w:color w:val="231F20"/>
        </w:rPr>
        <w:t>Actions</w:t>
      </w:r>
    </w:p>
    <w:p w14:paraId="73C67078" w14:textId="77777777" w:rsidR="009910CD" w:rsidRDefault="00FC2690" w:rsidP="0038514E">
      <w:pPr>
        <w:pStyle w:val="ListParagraph"/>
        <w:numPr>
          <w:ilvl w:val="2"/>
          <w:numId w:val="16"/>
        </w:numPr>
        <w:spacing w:before="86"/>
        <w:ind w:left="1170" w:hanging="450"/>
        <w:jc w:val="left"/>
        <w:rPr>
          <w:b/>
        </w:rPr>
      </w:pPr>
      <w:r>
        <w:rPr>
          <w:b/>
          <w:color w:val="231F20"/>
        </w:rPr>
        <w:t>Accrual of Cause of</w:t>
      </w:r>
      <w:r>
        <w:rPr>
          <w:b/>
          <w:color w:val="231F20"/>
          <w:spacing w:val="54"/>
        </w:rPr>
        <w:t xml:space="preserve"> </w:t>
      </w:r>
      <w:r>
        <w:rPr>
          <w:b/>
          <w:color w:val="231F20"/>
        </w:rPr>
        <w:t>Action</w:t>
      </w:r>
    </w:p>
    <w:p w14:paraId="1ED598FE" w14:textId="77777777" w:rsidR="00603A5C" w:rsidRDefault="00FC2690" w:rsidP="00324C7E">
      <w:pPr>
        <w:spacing w:before="119"/>
        <w:ind w:left="720"/>
        <w:rPr>
          <w:color w:val="231F20"/>
        </w:rPr>
      </w:pPr>
      <w:r w:rsidRPr="00603A5C">
        <w:rPr>
          <w:color w:val="231F20"/>
        </w:rPr>
        <w:t>2</w:t>
      </w:r>
      <w:r w:rsidR="00603A5C" w:rsidRPr="00603A5C">
        <w:rPr>
          <w:color w:val="231F20"/>
        </w:rPr>
        <w:t>01</w:t>
      </w:r>
      <w:r w:rsidR="006A1BA6">
        <w:rPr>
          <w:color w:val="231F20"/>
        </w:rPr>
        <w:t>6</w:t>
      </w:r>
      <w:r w:rsidR="00603A5C" w:rsidRPr="00603A5C">
        <w:rPr>
          <w:color w:val="231F20"/>
        </w:rPr>
        <w:t>—</w:t>
      </w:r>
      <w:r w:rsidR="00603A5C" w:rsidRPr="002046B8">
        <w:rPr>
          <w:i/>
          <w:iCs/>
          <w:color w:val="231F20"/>
        </w:rPr>
        <w:t>Haynes v. Haggerty</w:t>
      </w:r>
      <w:r w:rsidR="00603A5C" w:rsidRPr="00603A5C">
        <w:rPr>
          <w:color w:val="231F20"/>
        </w:rPr>
        <w:t xml:space="preserve">, </w:t>
      </w:r>
      <w:r w:rsidR="006A1BA6">
        <w:rPr>
          <w:color w:val="231F20"/>
        </w:rPr>
        <w:t>291</w:t>
      </w:r>
      <w:r w:rsidR="00603A5C" w:rsidRPr="00603A5C">
        <w:rPr>
          <w:color w:val="231F20"/>
        </w:rPr>
        <w:t xml:space="preserve"> Va. </w:t>
      </w:r>
      <w:r w:rsidR="006A1BA6">
        <w:rPr>
          <w:color w:val="231F20"/>
        </w:rPr>
        <w:t>301</w:t>
      </w:r>
      <w:r w:rsidR="00603A5C" w:rsidRPr="00603A5C">
        <w:rPr>
          <w:color w:val="231F20"/>
        </w:rPr>
        <w:t xml:space="preserve">, </w:t>
      </w:r>
      <w:r w:rsidR="006A1BA6">
        <w:rPr>
          <w:color w:val="231F20"/>
        </w:rPr>
        <w:t>784</w:t>
      </w:r>
      <w:r w:rsidR="00603A5C" w:rsidRPr="00603A5C">
        <w:rPr>
          <w:color w:val="231F20"/>
        </w:rPr>
        <w:t xml:space="preserve"> S.E.2d </w:t>
      </w:r>
      <w:r w:rsidR="006A1BA6">
        <w:rPr>
          <w:color w:val="231F20"/>
        </w:rPr>
        <w:t>293</w:t>
      </w:r>
      <w:r w:rsidR="00603A5C">
        <w:rPr>
          <w:color w:val="231F20"/>
        </w:rPr>
        <w:t>.</w:t>
      </w:r>
    </w:p>
    <w:p w14:paraId="035B033F" w14:textId="1E67CF92" w:rsidR="006A1BA6" w:rsidRDefault="006A1BA6" w:rsidP="00CB4A05">
      <w:pPr>
        <w:pStyle w:val="BodyText"/>
        <w:spacing w:before="120" w:after="120"/>
        <w:ind w:left="1440"/>
        <w:jc w:val="both"/>
        <w:rPr>
          <w:color w:val="231F20"/>
        </w:rPr>
      </w:pPr>
      <w:r>
        <w:rPr>
          <w:color w:val="231F20"/>
        </w:rPr>
        <w:t xml:space="preserve">Plaintiff alleged sexual abuse as a minor from 1971 to 1975.  Plaintiff reached age of majority in March of 1975.  She was informed of this abuse by her therapist on May 14, 2012.  </w:t>
      </w:r>
      <w:r w:rsidR="002F24E0">
        <w:rPr>
          <w:color w:val="231F20"/>
        </w:rPr>
        <w:t xml:space="preserve">Va. </w:t>
      </w:r>
      <w:r>
        <w:rPr>
          <w:color w:val="231F20"/>
        </w:rPr>
        <w:t xml:space="preserve">Code § 8.01-249(6) does not apply and claim is time barred.  </w:t>
      </w:r>
    </w:p>
    <w:p w14:paraId="5598397D" w14:textId="77777777" w:rsidR="009910CD" w:rsidRDefault="00603A5C" w:rsidP="00B629BE">
      <w:pPr>
        <w:spacing w:before="126"/>
        <w:ind w:left="720"/>
        <w:rPr>
          <w:color w:val="231F20"/>
        </w:rPr>
      </w:pPr>
      <w:r>
        <w:rPr>
          <w:color w:val="231F20"/>
        </w:rPr>
        <w:t>2</w:t>
      </w:r>
      <w:r w:rsidR="00FC2690" w:rsidRPr="00603A5C">
        <w:rPr>
          <w:color w:val="231F20"/>
        </w:rPr>
        <w:t>013—</w:t>
      </w:r>
      <w:r w:rsidR="00FC2690" w:rsidRPr="00603A5C">
        <w:rPr>
          <w:i/>
          <w:color w:val="231F20"/>
        </w:rPr>
        <w:t>Kiser v. A.W. Chesterton Company</w:t>
      </w:r>
      <w:r w:rsidR="00FC2690" w:rsidRPr="00603A5C">
        <w:rPr>
          <w:color w:val="231F20"/>
        </w:rPr>
        <w:t>, 285 Va.</w:t>
      </w:r>
      <w:r w:rsidR="00B64C57" w:rsidRPr="00603A5C">
        <w:rPr>
          <w:color w:val="231F20"/>
        </w:rPr>
        <w:t xml:space="preserve"> </w:t>
      </w:r>
      <w:r w:rsidR="00FC2690" w:rsidRPr="00603A5C">
        <w:rPr>
          <w:color w:val="231F20"/>
        </w:rPr>
        <w:t>12, 736 S.E.2d</w:t>
      </w:r>
      <w:r w:rsidR="00B64C57" w:rsidRPr="00603A5C">
        <w:rPr>
          <w:color w:val="231F20"/>
        </w:rPr>
        <w:t xml:space="preserve"> </w:t>
      </w:r>
      <w:r w:rsidR="00FC2690" w:rsidRPr="00603A5C">
        <w:rPr>
          <w:color w:val="231F20"/>
        </w:rPr>
        <w:t>910.</w:t>
      </w:r>
    </w:p>
    <w:p w14:paraId="4BE253B1" w14:textId="77777777" w:rsidR="005A6A05" w:rsidRPr="00C97952" w:rsidRDefault="005A6A05" w:rsidP="00CB4A05">
      <w:pPr>
        <w:pStyle w:val="BodyText"/>
        <w:spacing w:before="120" w:after="120"/>
        <w:ind w:left="1440"/>
        <w:jc w:val="both"/>
        <w:rPr>
          <w:color w:val="231F20"/>
        </w:rPr>
      </w:pPr>
      <w:r>
        <w:rPr>
          <w:color w:val="231F20"/>
        </w:rPr>
        <w:t>Cause of action for personal injury based on exposure to asbestos accrues upon first communication by a physician of a diagnosis of any of the specified diseases or</w:t>
      </w:r>
      <w:r w:rsidR="00103F1A">
        <w:rPr>
          <w:color w:val="231F20"/>
        </w:rPr>
        <w:t xml:space="preserve"> some other disabling asbestos-</w:t>
      </w:r>
      <w:r>
        <w:rPr>
          <w:color w:val="231F20"/>
        </w:rPr>
        <w:t>related injury or disease.</w:t>
      </w:r>
    </w:p>
    <w:p w14:paraId="44B17AA0" w14:textId="77777777" w:rsidR="005A6A05" w:rsidRDefault="005A6A05" w:rsidP="00B629BE">
      <w:pPr>
        <w:spacing w:before="120"/>
        <w:ind w:left="720"/>
      </w:pPr>
      <w:r>
        <w:rPr>
          <w:color w:val="231F20"/>
        </w:rPr>
        <w:t>2012—</w:t>
      </w:r>
      <w:r>
        <w:rPr>
          <w:i/>
          <w:color w:val="231F20"/>
        </w:rPr>
        <w:t>Bing v. Haywood</w:t>
      </w:r>
      <w:r>
        <w:rPr>
          <w:color w:val="231F20"/>
        </w:rPr>
        <w:t>, 283 Va. 381, 722 S.E.2d 244.</w:t>
      </w:r>
    </w:p>
    <w:p w14:paraId="67BA3758" w14:textId="77777777" w:rsidR="005A6A05" w:rsidRDefault="005A6A05" w:rsidP="00CB4A05">
      <w:pPr>
        <w:pStyle w:val="BodyText"/>
        <w:spacing w:before="120" w:after="120"/>
        <w:ind w:left="1440"/>
        <w:jc w:val="both"/>
        <w:rPr>
          <w:color w:val="231F20"/>
        </w:rPr>
      </w:pPr>
      <w:r>
        <w:rPr>
          <w:color w:val="231F20"/>
        </w:rPr>
        <w:t>Plaintiff filed assault and battery as well as intentional infliction of emotion distress claim alleging illegal body cavity search. Court applied one-year statute of limitations under Section 8.01-243.2 for commencement of claims related to conditions of confinement. Claim time barred.</w:t>
      </w:r>
    </w:p>
    <w:p w14:paraId="2636A08B" w14:textId="77777777" w:rsidR="005A6A05" w:rsidRDefault="005A6A05" w:rsidP="0038514E">
      <w:pPr>
        <w:pStyle w:val="Heading4"/>
        <w:numPr>
          <w:ilvl w:val="2"/>
          <w:numId w:val="16"/>
        </w:numPr>
        <w:ind w:left="1170" w:hanging="450"/>
        <w:jc w:val="left"/>
      </w:pPr>
      <w:r>
        <w:rPr>
          <w:color w:val="231F20"/>
        </w:rPr>
        <w:t>Personal</w:t>
      </w:r>
      <w:r>
        <w:rPr>
          <w:color w:val="231F20"/>
          <w:spacing w:val="14"/>
        </w:rPr>
        <w:t xml:space="preserve"> </w:t>
      </w:r>
      <w:r>
        <w:rPr>
          <w:color w:val="231F20"/>
        </w:rPr>
        <w:t>Injury</w:t>
      </w:r>
    </w:p>
    <w:p w14:paraId="18B9BBD5" w14:textId="77777777" w:rsidR="005A6A05" w:rsidRDefault="005A6A05" w:rsidP="00B629BE">
      <w:pPr>
        <w:spacing w:before="136"/>
        <w:ind w:left="720"/>
      </w:pPr>
      <w:r>
        <w:rPr>
          <w:color w:val="231F20"/>
        </w:rPr>
        <w:t>2014—</w:t>
      </w:r>
      <w:r>
        <w:rPr>
          <w:i/>
          <w:color w:val="231F20"/>
        </w:rPr>
        <w:t>Lucas v. Woody</w:t>
      </w:r>
      <w:r>
        <w:rPr>
          <w:color w:val="231F20"/>
        </w:rPr>
        <w:t>, 287 Va. 354, 756 S.E.2d 447.</w:t>
      </w:r>
    </w:p>
    <w:p w14:paraId="28678ADC" w14:textId="77777777" w:rsidR="005A6A05" w:rsidRPr="00C97952" w:rsidRDefault="005A6A05" w:rsidP="00CB4A05">
      <w:pPr>
        <w:pStyle w:val="BodyText"/>
        <w:spacing w:before="120" w:after="120"/>
        <w:ind w:left="1440"/>
        <w:jc w:val="both"/>
        <w:rPr>
          <w:color w:val="231F20"/>
        </w:rPr>
      </w:pPr>
      <w:r>
        <w:rPr>
          <w:color w:val="231F20"/>
        </w:rPr>
        <w:t>Suit for personal injuries while in confinement in the city jail. One-year limitation under Section 8.01-243.2 controls regardless of whether the plaintiff is still incarcerated when the action is filed.</w:t>
      </w:r>
    </w:p>
    <w:p w14:paraId="2746E168" w14:textId="77777777" w:rsidR="005A6A05" w:rsidRDefault="005A6A05" w:rsidP="00B629BE">
      <w:pPr>
        <w:spacing w:before="121"/>
        <w:ind w:left="720"/>
      </w:pPr>
      <w:r>
        <w:rPr>
          <w:color w:val="231F20"/>
        </w:rPr>
        <w:t>2011—</w:t>
      </w:r>
      <w:r>
        <w:rPr>
          <w:i/>
          <w:color w:val="231F20"/>
        </w:rPr>
        <w:t>Chalifoux v. Radiology Associates</w:t>
      </w:r>
      <w:r>
        <w:rPr>
          <w:color w:val="231F20"/>
        </w:rPr>
        <w:t>, 281 Va. 690, 708 S.E.2d 834.</w:t>
      </w:r>
    </w:p>
    <w:p w14:paraId="65421132" w14:textId="77777777" w:rsidR="005A6A05" w:rsidRDefault="005A6A05" w:rsidP="00CB4A05">
      <w:pPr>
        <w:pStyle w:val="BodyText"/>
        <w:spacing w:before="120" w:after="120"/>
        <w:ind w:left="1440"/>
        <w:jc w:val="both"/>
        <w:rPr>
          <w:color w:val="231F20"/>
        </w:rPr>
      </w:pPr>
      <w:r>
        <w:rPr>
          <w:color w:val="231F20"/>
        </w:rPr>
        <w:t>When malpractice is claimed to have occurred during a continuous and substantially uninterrupted course of examination and treatment in which a particular illness or condition should have</w:t>
      </w:r>
      <w:r w:rsidR="00103F1A">
        <w:rPr>
          <w:color w:val="231F20"/>
        </w:rPr>
        <w:t xml:space="preserve"> been diag</w:t>
      </w:r>
      <w:r>
        <w:rPr>
          <w:color w:val="231F20"/>
        </w:rPr>
        <w:t>nosed in the exercise of reasonable care, the date of injury occurs when the improper course of examination and treatment for the particular malady terminates. In this case, the plaintiff was referred to a radiological group who on six occasions during a three-year period conducted radiology studies. Each study related to the same or similar symptoms. All of the radiology studies were kept in one file under the plaintiff’s name. The Trial court in this case improperly granted the plea of the statute of limitations.</w:t>
      </w:r>
    </w:p>
    <w:p w14:paraId="329A90C5" w14:textId="77777777" w:rsidR="009129DE" w:rsidRPr="00CC656B" w:rsidRDefault="009129DE" w:rsidP="0038514E">
      <w:pPr>
        <w:pStyle w:val="Heading4"/>
        <w:numPr>
          <w:ilvl w:val="0"/>
          <w:numId w:val="38"/>
        </w:numPr>
        <w:tabs>
          <w:tab w:val="left" w:pos="1170"/>
        </w:tabs>
        <w:ind w:left="1170" w:hanging="450"/>
      </w:pPr>
      <w:r>
        <w:rPr>
          <w:color w:val="231F20"/>
          <w:spacing w:val="-3"/>
        </w:rPr>
        <w:t>Property Damage</w:t>
      </w:r>
    </w:p>
    <w:p w14:paraId="6EB094BA" w14:textId="77777777" w:rsidR="009129DE" w:rsidRDefault="009129DE" w:rsidP="00B629BE">
      <w:pPr>
        <w:spacing w:before="121"/>
        <w:ind w:left="720"/>
        <w:rPr>
          <w:color w:val="231F20"/>
        </w:rPr>
      </w:pPr>
      <w:r w:rsidRPr="00CC656B">
        <w:rPr>
          <w:color w:val="231F20"/>
        </w:rPr>
        <w:t>201</w:t>
      </w:r>
      <w:r>
        <w:rPr>
          <w:color w:val="231F20"/>
        </w:rPr>
        <w:t>7</w:t>
      </w:r>
      <w:r w:rsidRPr="00CC656B">
        <w:rPr>
          <w:color w:val="231F20"/>
        </w:rPr>
        <w:t>—</w:t>
      </w:r>
      <w:r>
        <w:rPr>
          <w:i/>
          <w:color w:val="231F20"/>
        </w:rPr>
        <w:t>Forest Lakes v. United Land Corp.</w:t>
      </w:r>
      <w:r w:rsidRPr="00CC656B">
        <w:rPr>
          <w:color w:val="231F20"/>
        </w:rPr>
        <w:t>, 2</w:t>
      </w:r>
      <w:r>
        <w:rPr>
          <w:color w:val="231F20"/>
        </w:rPr>
        <w:t>93</w:t>
      </w:r>
      <w:r w:rsidRPr="00CC656B">
        <w:rPr>
          <w:color w:val="231F20"/>
        </w:rPr>
        <w:t xml:space="preserve"> Va. </w:t>
      </w:r>
      <w:r>
        <w:rPr>
          <w:color w:val="231F20"/>
        </w:rPr>
        <w:t>113</w:t>
      </w:r>
      <w:r w:rsidRPr="00CC656B">
        <w:rPr>
          <w:color w:val="231F20"/>
        </w:rPr>
        <w:t>, 7</w:t>
      </w:r>
      <w:r>
        <w:rPr>
          <w:color w:val="231F20"/>
        </w:rPr>
        <w:t>95</w:t>
      </w:r>
      <w:r w:rsidRPr="00CC656B">
        <w:rPr>
          <w:color w:val="231F20"/>
        </w:rPr>
        <w:t xml:space="preserve"> S.E.2d 8</w:t>
      </w:r>
      <w:r>
        <w:rPr>
          <w:color w:val="231F20"/>
        </w:rPr>
        <w:t>75</w:t>
      </w:r>
      <w:r w:rsidRPr="00CC656B">
        <w:rPr>
          <w:color w:val="231F20"/>
        </w:rPr>
        <w:t>.</w:t>
      </w:r>
    </w:p>
    <w:p w14:paraId="0746A87F" w14:textId="77777777" w:rsidR="009129DE" w:rsidRPr="00A65879" w:rsidRDefault="009129DE" w:rsidP="00CB4A05">
      <w:pPr>
        <w:pStyle w:val="BodyText"/>
        <w:spacing w:before="120" w:after="120"/>
        <w:ind w:left="1440"/>
        <w:jc w:val="both"/>
        <w:rPr>
          <w:color w:val="231F20"/>
        </w:rPr>
      </w:pPr>
      <w:r>
        <w:rPr>
          <w:color w:val="231F20"/>
        </w:rPr>
        <w:t>Property owner alleged ongoing incursion of sediment into lake owned by plaintiff.  The fact that the incursion was continuing did not prolong the statute of limitations and claim is time barred.</w:t>
      </w:r>
    </w:p>
    <w:p w14:paraId="3CBACC9B" w14:textId="77777777" w:rsidR="009910CD" w:rsidRDefault="00FC2690" w:rsidP="0038514E">
      <w:pPr>
        <w:pStyle w:val="Heading4"/>
        <w:numPr>
          <w:ilvl w:val="0"/>
          <w:numId w:val="38"/>
        </w:numPr>
        <w:tabs>
          <w:tab w:val="left" w:pos="1170"/>
        </w:tabs>
        <w:ind w:left="720" w:hanging="12"/>
      </w:pPr>
      <w:r>
        <w:rPr>
          <w:color w:val="231F20"/>
          <w:spacing w:val="-3"/>
        </w:rPr>
        <w:lastRenderedPageBreak/>
        <w:t xml:space="preserve">Tolling </w:t>
      </w:r>
      <w:r>
        <w:rPr>
          <w:color w:val="231F20"/>
        </w:rPr>
        <w:t>of</w:t>
      </w:r>
      <w:r>
        <w:rPr>
          <w:color w:val="231F20"/>
          <w:spacing w:val="35"/>
        </w:rPr>
        <w:t xml:space="preserve"> </w:t>
      </w:r>
      <w:r>
        <w:rPr>
          <w:color w:val="231F20"/>
        </w:rPr>
        <w:t>Statute</w:t>
      </w:r>
    </w:p>
    <w:p w14:paraId="7C861175" w14:textId="7AAFE2E4" w:rsidR="009933B8" w:rsidRDefault="009933B8" w:rsidP="009933B8">
      <w:pPr>
        <w:spacing w:before="135"/>
        <w:ind w:left="720"/>
        <w:rPr>
          <w:color w:val="231F20"/>
        </w:rPr>
      </w:pPr>
      <w:r>
        <w:rPr>
          <w:color w:val="231F20"/>
        </w:rPr>
        <w:t>2022</w:t>
      </w:r>
      <w:r w:rsidRPr="009F6F0A">
        <w:rPr>
          <w:color w:val="231F20"/>
        </w:rPr>
        <w:t>—</w:t>
      </w:r>
      <w:r>
        <w:rPr>
          <w:i/>
          <w:color w:val="231F20"/>
        </w:rPr>
        <w:t>English</w:t>
      </w:r>
      <w:r w:rsidRPr="009F6F0A">
        <w:rPr>
          <w:i/>
          <w:color w:val="231F20"/>
        </w:rPr>
        <w:t xml:space="preserve"> v. </w:t>
      </w:r>
      <w:r>
        <w:rPr>
          <w:i/>
          <w:color w:val="231F20"/>
        </w:rPr>
        <w:t>Quinn</w:t>
      </w:r>
      <w:r w:rsidRPr="009F6F0A">
        <w:rPr>
          <w:color w:val="231F20"/>
        </w:rPr>
        <w:t xml:space="preserve">, </w:t>
      </w:r>
      <w:r>
        <w:rPr>
          <w:color w:val="231F20"/>
        </w:rPr>
        <w:t>76</w:t>
      </w:r>
      <w:r w:rsidRPr="009F6F0A">
        <w:rPr>
          <w:color w:val="231F20"/>
        </w:rPr>
        <w:t xml:space="preserve"> Va. </w:t>
      </w:r>
      <w:r>
        <w:rPr>
          <w:color w:val="231F20"/>
        </w:rPr>
        <w:t>App. 80</w:t>
      </w:r>
      <w:r w:rsidRPr="009F6F0A">
        <w:rPr>
          <w:color w:val="231F20"/>
        </w:rPr>
        <w:t xml:space="preserve">, </w:t>
      </w:r>
      <w:r>
        <w:rPr>
          <w:color w:val="231F20"/>
        </w:rPr>
        <w:t>880</w:t>
      </w:r>
      <w:r w:rsidRPr="009F6F0A">
        <w:rPr>
          <w:color w:val="231F20"/>
        </w:rPr>
        <w:t xml:space="preserve"> S.E.2d </w:t>
      </w:r>
      <w:r>
        <w:rPr>
          <w:color w:val="231F20"/>
        </w:rPr>
        <w:t>35</w:t>
      </w:r>
      <w:r w:rsidRPr="009F6F0A">
        <w:rPr>
          <w:color w:val="231F20"/>
        </w:rPr>
        <w:t>.</w:t>
      </w:r>
    </w:p>
    <w:p w14:paraId="39293293" w14:textId="6E9A8B1C" w:rsidR="009933B8" w:rsidRDefault="009933B8" w:rsidP="002046B8">
      <w:pPr>
        <w:spacing w:before="135"/>
        <w:ind w:left="1440"/>
        <w:jc w:val="both"/>
        <w:rPr>
          <w:color w:val="231F20"/>
        </w:rPr>
      </w:pPr>
      <w:r>
        <w:rPr>
          <w:color w:val="231F20"/>
        </w:rPr>
        <w:t>Supreme Court Covid Tolling Order provided that plaintiff has 135 days after the Order stopped the clock for the limitation period.  The Order tolled the statute of limitations from March 16, 2020 through July 19, 2020.</w:t>
      </w:r>
    </w:p>
    <w:p w14:paraId="7A5D7AEA" w14:textId="3B6EC483" w:rsidR="00085A43" w:rsidRDefault="009933B8" w:rsidP="00B629BE">
      <w:pPr>
        <w:spacing w:before="135"/>
        <w:ind w:left="720"/>
        <w:rPr>
          <w:color w:val="231F20"/>
        </w:rPr>
      </w:pPr>
      <w:r>
        <w:rPr>
          <w:color w:val="231F20"/>
        </w:rPr>
        <w:t>2</w:t>
      </w:r>
      <w:r w:rsidR="00085A43">
        <w:rPr>
          <w:color w:val="231F20"/>
        </w:rPr>
        <w:t>022</w:t>
      </w:r>
      <w:r w:rsidR="00085A43" w:rsidRPr="009F6F0A">
        <w:rPr>
          <w:color w:val="231F20"/>
        </w:rPr>
        <w:t>—</w:t>
      </w:r>
      <w:r w:rsidR="00085A43">
        <w:rPr>
          <w:i/>
          <w:color w:val="231F20"/>
        </w:rPr>
        <w:t>Edwards</w:t>
      </w:r>
      <w:r w:rsidR="00085A43" w:rsidRPr="009F6F0A">
        <w:rPr>
          <w:i/>
          <w:color w:val="231F20"/>
        </w:rPr>
        <w:t xml:space="preserve"> v. </w:t>
      </w:r>
      <w:r w:rsidR="00085A43">
        <w:rPr>
          <w:i/>
          <w:color w:val="231F20"/>
        </w:rPr>
        <w:t>Omni International Services Inc.</w:t>
      </w:r>
      <w:r w:rsidR="00085A43" w:rsidRPr="009F6F0A">
        <w:rPr>
          <w:color w:val="231F20"/>
        </w:rPr>
        <w:t xml:space="preserve">, </w:t>
      </w:r>
      <w:r w:rsidR="00085A43">
        <w:rPr>
          <w:color w:val="231F20"/>
        </w:rPr>
        <w:t>301 Va. 125</w:t>
      </w:r>
      <w:r w:rsidR="00085A43" w:rsidRPr="009F6F0A">
        <w:rPr>
          <w:color w:val="231F20"/>
        </w:rPr>
        <w:t xml:space="preserve">, </w:t>
      </w:r>
      <w:r w:rsidR="00085A43">
        <w:rPr>
          <w:color w:val="231F20"/>
        </w:rPr>
        <w:t>872</w:t>
      </w:r>
      <w:r w:rsidR="00085A43" w:rsidRPr="009F6F0A">
        <w:rPr>
          <w:color w:val="231F20"/>
        </w:rPr>
        <w:t xml:space="preserve"> S.E.2d </w:t>
      </w:r>
      <w:r w:rsidR="00085A43">
        <w:rPr>
          <w:color w:val="231F20"/>
        </w:rPr>
        <w:t>428</w:t>
      </w:r>
      <w:r w:rsidR="00085A43" w:rsidRPr="009F6F0A">
        <w:rPr>
          <w:color w:val="231F20"/>
        </w:rPr>
        <w:t>.</w:t>
      </w:r>
    </w:p>
    <w:p w14:paraId="0FEBCE9F" w14:textId="181ED9D2" w:rsidR="00085A43" w:rsidRDefault="00085A43" w:rsidP="00085A43">
      <w:pPr>
        <w:pStyle w:val="BodyText"/>
        <w:spacing w:before="120" w:after="120"/>
        <w:ind w:left="1440"/>
        <w:jc w:val="both"/>
        <w:rPr>
          <w:color w:val="231F20"/>
        </w:rPr>
      </w:pPr>
      <w:r>
        <w:rPr>
          <w:color w:val="231F20"/>
        </w:rPr>
        <w:t xml:space="preserve">Plaintiff sued company “x” who had been a web service company for Omni. Omni was the responsible party. The court stated that plaintiff’s error in that regard was a misnomer and not a misjoinder. In spite of that the refiling against Omni after the statute of limitations had run did not relate back pursuant to </w:t>
      </w:r>
      <w:r w:rsidR="002F24E0">
        <w:rPr>
          <w:color w:val="231F20"/>
        </w:rPr>
        <w:t>Va.</w:t>
      </w:r>
      <w:r>
        <w:rPr>
          <w:color w:val="231F20"/>
        </w:rPr>
        <w:t xml:space="preserve"> Code § 8.01-6 since the plaintiff did not prove the elements of the above Code section. </w:t>
      </w:r>
    </w:p>
    <w:p w14:paraId="0F6D3AD5" w14:textId="0BE51AA8" w:rsidR="00D014A9" w:rsidRDefault="00D014A9" w:rsidP="00B629BE">
      <w:pPr>
        <w:spacing w:before="135"/>
        <w:ind w:left="720"/>
        <w:rPr>
          <w:color w:val="231F20"/>
        </w:rPr>
      </w:pPr>
      <w:r>
        <w:rPr>
          <w:color w:val="231F20"/>
        </w:rPr>
        <w:t>2020</w:t>
      </w:r>
      <w:r w:rsidRPr="009F6F0A">
        <w:rPr>
          <w:color w:val="231F20"/>
        </w:rPr>
        <w:t>—</w:t>
      </w:r>
      <w:r>
        <w:rPr>
          <w:i/>
          <w:color w:val="231F20"/>
        </w:rPr>
        <w:t>Mackey</w:t>
      </w:r>
      <w:r w:rsidRPr="009F6F0A">
        <w:rPr>
          <w:i/>
          <w:color w:val="231F20"/>
        </w:rPr>
        <w:t xml:space="preserve"> v. </w:t>
      </w:r>
      <w:r>
        <w:rPr>
          <w:i/>
          <w:color w:val="231F20"/>
        </w:rPr>
        <w:t>McDannald</w:t>
      </w:r>
      <w:r w:rsidRPr="009F6F0A">
        <w:rPr>
          <w:color w:val="231F20"/>
        </w:rPr>
        <w:t xml:space="preserve">, </w:t>
      </w:r>
      <w:r>
        <w:rPr>
          <w:color w:val="231F20"/>
        </w:rPr>
        <w:t>298</w:t>
      </w:r>
      <w:r w:rsidRPr="009F6F0A">
        <w:rPr>
          <w:color w:val="231F20"/>
        </w:rPr>
        <w:t xml:space="preserve"> Va. </w:t>
      </w:r>
      <w:r>
        <w:rPr>
          <w:color w:val="231F20"/>
        </w:rPr>
        <w:t>645</w:t>
      </w:r>
      <w:r w:rsidRPr="009F6F0A">
        <w:rPr>
          <w:color w:val="231F20"/>
        </w:rPr>
        <w:t xml:space="preserve">, </w:t>
      </w:r>
      <w:r>
        <w:rPr>
          <w:color w:val="231F20"/>
        </w:rPr>
        <w:t>842</w:t>
      </w:r>
      <w:r w:rsidRPr="009F6F0A">
        <w:rPr>
          <w:color w:val="231F20"/>
        </w:rPr>
        <w:t xml:space="preserve"> S.E.2d </w:t>
      </w:r>
      <w:r>
        <w:rPr>
          <w:color w:val="231F20"/>
        </w:rPr>
        <w:t>379</w:t>
      </w:r>
      <w:r w:rsidRPr="009F6F0A">
        <w:rPr>
          <w:color w:val="231F20"/>
        </w:rPr>
        <w:t>.</w:t>
      </w:r>
    </w:p>
    <w:p w14:paraId="3A06A3CA" w14:textId="7297137E" w:rsidR="00D014A9" w:rsidRPr="00C97952" w:rsidRDefault="00D014A9" w:rsidP="00D014A9">
      <w:pPr>
        <w:pStyle w:val="BodyText"/>
        <w:spacing w:before="120" w:after="120"/>
        <w:ind w:left="1440"/>
        <w:jc w:val="both"/>
        <w:rPr>
          <w:color w:val="231F20"/>
        </w:rPr>
      </w:pPr>
      <w:r>
        <w:rPr>
          <w:color w:val="231F20"/>
        </w:rPr>
        <w:t>Obstruction of filing may toll statute of limitations where the obstructive actions occurred before the claim arose.  In this instance former partners’ misrepresentations about stock amounted to such obstruction.</w:t>
      </w:r>
    </w:p>
    <w:p w14:paraId="65482030" w14:textId="5A692996" w:rsidR="009F6F0A" w:rsidRDefault="009F6F0A" w:rsidP="00B629BE">
      <w:pPr>
        <w:spacing w:before="135"/>
        <w:ind w:left="720"/>
      </w:pPr>
      <w:r w:rsidRPr="009F6F0A">
        <w:rPr>
          <w:color w:val="231F20"/>
        </w:rPr>
        <w:t>201</w:t>
      </w:r>
      <w:r>
        <w:rPr>
          <w:color w:val="231F20"/>
        </w:rPr>
        <w:t>6</w:t>
      </w:r>
      <w:r w:rsidRPr="009F6F0A">
        <w:rPr>
          <w:color w:val="231F20"/>
        </w:rPr>
        <w:t>—</w:t>
      </w:r>
      <w:r>
        <w:rPr>
          <w:i/>
          <w:color w:val="231F20"/>
        </w:rPr>
        <w:t>Richmond</w:t>
      </w:r>
      <w:r w:rsidRPr="009F6F0A">
        <w:rPr>
          <w:i/>
          <w:color w:val="231F20"/>
        </w:rPr>
        <w:t xml:space="preserve"> v. </w:t>
      </w:r>
      <w:r>
        <w:rPr>
          <w:i/>
          <w:color w:val="231F20"/>
        </w:rPr>
        <w:t>Volk</w:t>
      </w:r>
      <w:r w:rsidRPr="009F6F0A">
        <w:rPr>
          <w:color w:val="231F20"/>
        </w:rPr>
        <w:t xml:space="preserve">, </w:t>
      </w:r>
      <w:r>
        <w:rPr>
          <w:color w:val="231F20"/>
        </w:rPr>
        <w:t>291</w:t>
      </w:r>
      <w:r w:rsidRPr="009F6F0A">
        <w:rPr>
          <w:color w:val="231F20"/>
        </w:rPr>
        <w:t xml:space="preserve"> Va. </w:t>
      </w:r>
      <w:r>
        <w:rPr>
          <w:color w:val="231F20"/>
        </w:rPr>
        <w:t>60</w:t>
      </w:r>
      <w:r w:rsidRPr="009F6F0A">
        <w:rPr>
          <w:color w:val="231F20"/>
        </w:rPr>
        <w:t>, 7</w:t>
      </w:r>
      <w:r w:rsidR="00180B26">
        <w:rPr>
          <w:color w:val="231F20"/>
        </w:rPr>
        <w:t>81</w:t>
      </w:r>
      <w:r w:rsidRPr="009F6F0A">
        <w:rPr>
          <w:color w:val="231F20"/>
        </w:rPr>
        <w:t xml:space="preserve"> S.E.2d </w:t>
      </w:r>
      <w:r w:rsidR="00180B26">
        <w:rPr>
          <w:color w:val="231F20"/>
        </w:rPr>
        <w:t>191</w:t>
      </w:r>
      <w:r w:rsidRPr="009F6F0A">
        <w:rPr>
          <w:color w:val="231F20"/>
        </w:rPr>
        <w:t>.</w:t>
      </w:r>
    </w:p>
    <w:p w14:paraId="1B07AF07" w14:textId="77777777" w:rsidR="00180B26" w:rsidRPr="00C97952" w:rsidRDefault="00180B26" w:rsidP="00CB4A05">
      <w:pPr>
        <w:pStyle w:val="BodyText"/>
        <w:spacing w:before="120" w:after="120"/>
        <w:ind w:left="1440"/>
        <w:jc w:val="both"/>
        <w:rPr>
          <w:color w:val="231F20"/>
        </w:rPr>
      </w:pPr>
      <w:r>
        <w:rPr>
          <w:color w:val="231F20"/>
        </w:rPr>
        <w:t>Plaintiff incorrectly used car owner’s last name in naming the defendant.  Suit papers were delivered to the car owner’s address and posted at that address.  Car owner’s insurer discussed the case with the actual defendant.  Plaintiff nonsuited and then refiled within six months, this time correctly naming the defendant.  The original filing was a misnomer which tolled the statute of limitations and as such the six month provision applies.</w:t>
      </w:r>
    </w:p>
    <w:p w14:paraId="10D24E00" w14:textId="77777777" w:rsidR="009910CD" w:rsidRDefault="00FC2690" w:rsidP="00B629BE">
      <w:pPr>
        <w:spacing w:before="135"/>
        <w:ind w:left="720"/>
      </w:pPr>
      <w:r>
        <w:rPr>
          <w:color w:val="231F20"/>
        </w:rPr>
        <w:t>2012—</w:t>
      </w:r>
      <w:r>
        <w:rPr>
          <w:i/>
          <w:color w:val="231F20"/>
        </w:rPr>
        <w:t>Casey v.</w:t>
      </w:r>
      <w:r w:rsidR="00B64C57">
        <w:rPr>
          <w:i/>
          <w:color w:val="231F20"/>
        </w:rPr>
        <w:t xml:space="preserve"> </w:t>
      </w:r>
      <w:r>
        <w:rPr>
          <w:i/>
          <w:color w:val="231F20"/>
        </w:rPr>
        <w:t>Merck &amp; Company, Inc.</w:t>
      </w:r>
      <w:r>
        <w:rPr>
          <w:color w:val="231F20"/>
        </w:rPr>
        <w:t>, 283 Va.</w:t>
      </w:r>
      <w:r w:rsidR="00B64C57">
        <w:rPr>
          <w:color w:val="231F20"/>
        </w:rPr>
        <w:t xml:space="preserve"> </w:t>
      </w:r>
      <w:r>
        <w:rPr>
          <w:color w:val="231F20"/>
        </w:rPr>
        <w:t>411, 722 S.E.2d</w:t>
      </w:r>
      <w:r w:rsidR="00B64C57">
        <w:rPr>
          <w:color w:val="231F20"/>
        </w:rPr>
        <w:t xml:space="preserve"> </w:t>
      </w:r>
      <w:r>
        <w:rPr>
          <w:color w:val="231F20"/>
        </w:rPr>
        <w:t>842.</w:t>
      </w:r>
    </w:p>
    <w:p w14:paraId="6F072127" w14:textId="77777777" w:rsidR="009910CD" w:rsidRPr="00C97952" w:rsidRDefault="00FC2690" w:rsidP="00CB4A05">
      <w:pPr>
        <w:pStyle w:val="BodyText"/>
        <w:spacing w:before="120" w:after="120"/>
        <w:ind w:left="1440"/>
        <w:jc w:val="both"/>
        <w:rPr>
          <w:color w:val="231F20"/>
        </w:rPr>
      </w:pPr>
      <w:r>
        <w:rPr>
          <w:color w:val="231F20"/>
        </w:rPr>
        <w:t>Virginia Law does not permit equitable tolling of state statute of limitations due to pendency of a putative class action in another jurisdiction.</w:t>
      </w:r>
    </w:p>
    <w:p w14:paraId="7F8FB61F" w14:textId="77777777" w:rsidR="009910CD" w:rsidRDefault="00FC2690" w:rsidP="00B629BE">
      <w:pPr>
        <w:spacing w:before="121"/>
        <w:ind w:left="720"/>
      </w:pPr>
      <w:r>
        <w:rPr>
          <w:color w:val="231F20"/>
        </w:rPr>
        <w:t>2010—</w:t>
      </w:r>
      <w:r>
        <w:rPr>
          <w:i/>
          <w:color w:val="231F20"/>
        </w:rPr>
        <w:t xml:space="preserve">Conger </w:t>
      </w:r>
      <w:r>
        <w:rPr>
          <w:i/>
          <w:color w:val="231F20"/>
          <w:spacing w:val="-9"/>
        </w:rPr>
        <w:t>v.</w:t>
      </w:r>
      <w:r w:rsidR="00B64C57">
        <w:rPr>
          <w:i/>
          <w:color w:val="231F20"/>
          <w:spacing w:val="-9"/>
        </w:rPr>
        <w:t xml:space="preserve"> </w:t>
      </w:r>
      <w:r>
        <w:rPr>
          <w:i/>
          <w:color w:val="231F20"/>
        </w:rPr>
        <w:t>Barrett</w:t>
      </w:r>
      <w:r>
        <w:rPr>
          <w:color w:val="231F20"/>
        </w:rPr>
        <w:t xml:space="preserve">, 280 </w:t>
      </w:r>
      <w:r>
        <w:rPr>
          <w:color w:val="231F20"/>
          <w:spacing w:val="-9"/>
        </w:rPr>
        <w:t>Va.</w:t>
      </w:r>
      <w:r w:rsidR="00B64C57">
        <w:rPr>
          <w:color w:val="231F20"/>
          <w:spacing w:val="-9"/>
        </w:rPr>
        <w:t xml:space="preserve"> </w:t>
      </w:r>
      <w:r>
        <w:rPr>
          <w:color w:val="231F20"/>
        </w:rPr>
        <w:t>627, 702 S.E.2d</w:t>
      </w:r>
      <w:r>
        <w:rPr>
          <w:color w:val="231F20"/>
          <w:spacing w:val="53"/>
        </w:rPr>
        <w:t xml:space="preserve"> </w:t>
      </w:r>
      <w:r>
        <w:rPr>
          <w:color w:val="231F20"/>
          <w:spacing w:val="-3"/>
        </w:rPr>
        <w:t>117.</w:t>
      </w:r>
    </w:p>
    <w:p w14:paraId="474AC543" w14:textId="77777777" w:rsidR="009910CD" w:rsidRPr="00C97952" w:rsidRDefault="00FC2690" w:rsidP="00CB4A05">
      <w:pPr>
        <w:pStyle w:val="BodyText"/>
        <w:spacing w:before="120" w:after="120"/>
        <w:ind w:left="1440"/>
        <w:jc w:val="both"/>
        <w:rPr>
          <w:color w:val="231F20"/>
        </w:rPr>
      </w:pPr>
      <w:r>
        <w:rPr>
          <w:color w:val="231F20"/>
        </w:rPr>
        <w:t>Wrongful</w:t>
      </w:r>
      <w:r w:rsidRPr="00C97952">
        <w:rPr>
          <w:color w:val="231F20"/>
        </w:rPr>
        <w:t xml:space="preserve"> </w:t>
      </w:r>
      <w:r>
        <w:rPr>
          <w:color w:val="231F20"/>
        </w:rPr>
        <w:t>death</w:t>
      </w:r>
      <w:r w:rsidRPr="00C97952">
        <w:rPr>
          <w:color w:val="231F20"/>
        </w:rPr>
        <w:t xml:space="preserve"> </w:t>
      </w:r>
      <w:r>
        <w:rPr>
          <w:color w:val="231F20"/>
        </w:rPr>
        <w:t>action</w:t>
      </w:r>
      <w:r w:rsidRPr="00C97952">
        <w:rPr>
          <w:color w:val="231F20"/>
        </w:rPr>
        <w:t xml:space="preserve"> </w:t>
      </w:r>
      <w:r>
        <w:rPr>
          <w:color w:val="231F20"/>
        </w:rPr>
        <w:t>was</w:t>
      </w:r>
      <w:r w:rsidRPr="00C97952">
        <w:rPr>
          <w:color w:val="231F20"/>
        </w:rPr>
        <w:t xml:space="preserve"> </w:t>
      </w:r>
      <w:r>
        <w:rPr>
          <w:color w:val="231F20"/>
        </w:rPr>
        <w:t>dismissed</w:t>
      </w:r>
      <w:r w:rsidRPr="00C97952">
        <w:rPr>
          <w:color w:val="231F20"/>
        </w:rPr>
        <w:t xml:space="preserve"> </w:t>
      </w:r>
      <w:r>
        <w:rPr>
          <w:color w:val="231F20"/>
        </w:rPr>
        <w:t>due</w:t>
      </w:r>
      <w:r w:rsidRPr="00C97952">
        <w:rPr>
          <w:color w:val="231F20"/>
        </w:rPr>
        <w:t xml:space="preserve"> </w:t>
      </w:r>
      <w:r>
        <w:rPr>
          <w:color w:val="231F20"/>
        </w:rPr>
        <w:t>to</w:t>
      </w:r>
      <w:r w:rsidRPr="00C97952">
        <w:rPr>
          <w:color w:val="231F20"/>
        </w:rPr>
        <w:t xml:space="preserve"> </w:t>
      </w:r>
      <w:r>
        <w:rPr>
          <w:color w:val="231F20"/>
        </w:rPr>
        <w:t>inactivity</w:t>
      </w:r>
      <w:r w:rsidRPr="00C97952">
        <w:rPr>
          <w:color w:val="231F20"/>
        </w:rPr>
        <w:t xml:space="preserve"> </w:t>
      </w:r>
      <w:r>
        <w:rPr>
          <w:color w:val="231F20"/>
        </w:rPr>
        <w:t>but</w:t>
      </w:r>
      <w:r w:rsidRPr="00C97952">
        <w:rPr>
          <w:color w:val="231F20"/>
        </w:rPr>
        <w:t xml:space="preserve"> </w:t>
      </w:r>
      <w:r>
        <w:rPr>
          <w:color w:val="231F20"/>
        </w:rPr>
        <w:t xml:space="preserve">reinstated within one </w:t>
      </w:r>
      <w:r w:rsidRPr="00C97952">
        <w:rPr>
          <w:color w:val="231F20"/>
        </w:rPr>
        <w:t xml:space="preserve">year. </w:t>
      </w:r>
      <w:r>
        <w:rPr>
          <w:color w:val="231F20"/>
        </w:rPr>
        <w:t>Such action is not time barred as it does not constitute another action but is simply the reopening of an existing action.</w:t>
      </w:r>
    </w:p>
    <w:p w14:paraId="1A7E7AE0" w14:textId="77777777" w:rsidR="009910CD" w:rsidRDefault="00FC2690" w:rsidP="00B629BE">
      <w:pPr>
        <w:spacing w:before="118"/>
        <w:ind w:left="720"/>
      </w:pPr>
      <w:r>
        <w:rPr>
          <w:color w:val="231F20"/>
        </w:rPr>
        <w:t>2010—</w:t>
      </w:r>
      <w:r>
        <w:rPr>
          <w:i/>
          <w:color w:val="231F20"/>
        </w:rPr>
        <w:t>Aguilera v.</w:t>
      </w:r>
      <w:r w:rsidR="00B64C57">
        <w:rPr>
          <w:i/>
          <w:color w:val="231F20"/>
        </w:rPr>
        <w:t xml:space="preserve"> </w:t>
      </w:r>
      <w:r>
        <w:rPr>
          <w:i/>
          <w:color w:val="231F20"/>
        </w:rPr>
        <w:t>Christian</w:t>
      </w:r>
      <w:r>
        <w:rPr>
          <w:color w:val="231F20"/>
        </w:rPr>
        <w:t>, 280 Va.</w:t>
      </w:r>
      <w:r w:rsidR="00B64C57">
        <w:rPr>
          <w:color w:val="231F20"/>
        </w:rPr>
        <w:t xml:space="preserve"> </w:t>
      </w:r>
      <w:r>
        <w:rPr>
          <w:color w:val="231F20"/>
        </w:rPr>
        <w:t>486, 699 S.E.2d</w:t>
      </w:r>
      <w:r w:rsidR="00B64C57">
        <w:rPr>
          <w:color w:val="231F20"/>
        </w:rPr>
        <w:t xml:space="preserve"> </w:t>
      </w:r>
      <w:r>
        <w:rPr>
          <w:color w:val="231F20"/>
        </w:rPr>
        <w:t>517.</w:t>
      </w:r>
    </w:p>
    <w:p w14:paraId="013CAD8F" w14:textId="77777777" w:rsidR="009910CD" w:rsidRPr="009129DE" w:rsidRDefault="00FC2690" w:rsidP="00CB4A05">
      <w:pPr>
        <w:pStyle w:val="BodyText"/>
        <w:spacing w:before="120" w:after="120"/>
        <w:ind w:left="1440"/>
        <w:jc w:val="both"/>
        <w:rPr>
          <w:color w:val="231F20"/>
        </w:rPr>
      </w:pPr>
      <w:r>
        <w:rPr>
          <w:color w:val="231F20"/>
        </w:rPr>
        <w:t>Pro se plaintiff may not authorize other party to sign Complaint.</w:t>
      </w:r>
      <w:r w:rsidR="009129DE">
        <w:rPr>
          <w:color w:val="231F20"/>
        </w:rPr>
        <w:t xml:space="preserve">  </w:t>
      </w:r>
      <w:r>
        <w:rPr>
          <w:color w:val="231F20"/>
        </w:rPr>
        <w:t>Such a signature is invalid and the Complaint is a nullity and does not toll the statute of</w:t>
      </w:r>
      <w:r w:rsidR="00B64C57">
        <w:rPr>
          <w:color w:val="231F20"/>
        </w:rPr>
        <w:t xml:space="preserve"> </w:t>
      </w:r>
      <w:r>
        <w:rPr>
          <w:color w:val="231F20"/>
        </w:rPr>
        <w:t>limitations.</w:t>
      </w:r>
    </w:p>
    <w:p w14:paraId="0FDAF3AF" w14:textId="77777777" w:rsidR="009910CD" w:rsidRDefault="00FC2690" w:rsidP="00B629BE">
      <w:pPr>
        <w:spacing w:before="121"/>
        <w:ind w:left="720"/>
      </w:pPr>
      <w:r>
        <w:rPr>
          <w:color w:val="231F20"/>
        </w:rPr>
        <w:t>2010—</w:t>
      </w:r>
      <w:r>
        <w:rPr>
          <w:i/>
          <w:color w:val="231F20"/>
        </w:rPr>
        <w:t>Shipe v.</w:t>
      </w:r>
      <w:r w:rsidR="00B64C57">
        <w:rPr>
          <w:i/>
          <w:color w:val="231F20"/>
        </w:rPr>
        <w:t xml:space="preserve"> </w:t>
      </w:r>
      <w:r>
        <w:rPr>
          <w:i/>
          <w:color w:val="231F20"/>
        </w:rPr>
        <w:t>Hunter</w:t>
      </w:r>
      <w:r>
        <w:rPr>
          <w:color w:val="231F20"/>
        </w:rPr>
        <w:t>, 280 Va.</w:t>
      </w:r>
      <w:r w:rsidR="00B64C57">
        <w:rPr>
          <w:color w:val="231F20"/>
        </w:rPr>
        <w:t xml:space="preserve"> </w:t>
      </w:r>
      <w:r>
        <w:rPr>
          <w:color w:val="231F20"/>
        </w:rPr>
        <w:t>480, 699 S.E.2d</w:t>
      </w:r>
      <w:r w:rsidR="00B64C57">
        <w:rPr>
          <w:color w:val="231F20"/>
        </w:rPr>
        <w:t xml:space="preserve"> </w:t>
      </w:r>
      <w:r>
        <w:rPr>
          <w:color w:val="231F20"/>
        </w:rPr>
        <w:t>519.</w:t>
      </w:r>
    </w:p>
    <w:p w14:paraId="5DC344E9" w14:textId="77777777" w:rsidR="009910CD" w:rsidRDefault="00FC2690" w:rsidP="00CB4A05">
      <w:pPr>
        <w:pStyle w:val="BodyText"/>
        <w:spacing w:before="120" w:after="120"/>
        <w:ind w:left="1440"/>
        <w:jc w:val="both"/>
        <w:rPr>
          <w:color w:val="231F20"/>
        </w:rPr>
      </w:pPr>
      <w:r>
        <w:rPr>
          <w:color w:val="231F20"/>
        </w:rPr>
        <w:t>Complaint signed by non-Virginia lawyer at direction of Virginia lawyer is inadequate as a matter of law since it does not bear the signature of a Virginia lawyer. The filing of such an action does not toll the statute of</w:t>
      </w:r>
      <w:r w:rsidR="00B64C57">
        <w:rPr>
          <w:color w:val="231F20"/>
        </w:rPr>
        <w:t xml:space="preserve"> </w:t>
      </w:r>
      <w:r>
        <w:rPr>
          <w:color w:val="231F20"/>
        </w:rPr>
        <w:t>limitations.</w:t>
      </w:r>
    </w:p>
    <w:p w14:paraId="33AAD3A1" w14:textId="77777777" w:rsidR="009910CD" w:rsidRDefault="00FC2690" w:rsidP="0038514E">
      <w:pPr>
        <w:pStyle w:val="Heading4"/>
        <w:numPr>
          <w:ilvl w:val="0"/>
          <w:numId w:val="38"/>
        </w:numPr>
        <w:tabs>
          <w:tab w:val="left" w:pos="1260"/>
        </w:tabs>
        <w:ind w:left="2041" w:hanging="1321"/>
      </w:pPr>
      <w:r>
        <w:rPr>
          <w:color w:val="231F20"/>
        </w:rPr>
        <w:t>Miscellaneous</w:t>
      </w:r>
    </w:p>
    <w:p w14:paraId="3B859E68" w14:textId="77777777" w:rsidR="009910CD" w:rsidRDefault="00FC2690" w:rsidP="00B629BE">
      <w:pPr>
        <w:spacing w:before="136"/>
        <w:ind w:left="720"/>
      </w:pPr>
      <w:r>
        <w:rPr>
          <w:color w:val="231F20"/>
        </w:rPr>
        <w:t>2011—</w:t>
      </w:r>
      <w:r>
        <w:rPr>
          <w:i/>
          <w:color w:val="231F20"/>
        </w:rPr>
        <w:t>Kocher v.</w:t>
      </w:r>
      <w:r w:rsidR="00B64C57">
        <w:rPr>
          <w:i/>
          <w:color w:val="231F20"/>
        </w:rPr>
        <w:t xml:space="preserve"> </w:t>
      </w:r>
      <w:r>
        <w:rPr>
          <w:i/>
          <w:color w:val="231F20"/>
        </w:rPr>
        <w:t>Campbell</w:t>
      </w:r>
      <w:r>
        <w:rPr>
          <w:color w:val="231F20"/>
        </w:rPr>
        <w:t>, 282 Va.</w:t>
      </w:r>
      <w:r w:rsidR="00B64C57">
        <w:rPr>
          <w:color w:val="231F20"/>
        </w:rPr>
        <w:t xml:space="preserve"> </w:t>
      </w:r>
      <w:r>
        <w:rPr>
          <w:color w:val="231F20"/>
        </w:rPr>
        <w:t>113, 712 S.E.2d</w:t>
      </w:r>
      <w:r w:rsidR="00B64C57">
        <w:rPr>
          <w:color w:val="231F20"/>
        </w:rPr>
        <w:t xml:space="preserve"> </w:t>
      </w:r>
      <w:r>
        <w:rPr>
          <w:color w:val="231F20"/>
        </w:rPr>
        <w:t>477.</w:t>
      </w:r>
    </w:p>
    <w:p w14:paraId="101ACA3C" w14:textId="77777777" w:rsidR="009910CD" w:rsidRPr="00C97952" w:rsidRDefault="00FC2690" w:rsidP="00CB4A05">
      <w:pPr>
        <w:pStyle w:val="BodyText"/>
        <w:spacing w:before="120" w:after="120"/>
        <w:ind w:left="1440"/>
        <w:jc w:val="both"/>
        <w:rPr>
          <w:color w:val="231F20"/>
        </w:rPr>
      </w:pPr>
      <w:r>
        <w:rPr>
          <w:color w:val="231F20"/>
        </w:rPr>
        <w:t>In this personal injury case, the plaintiff filed bankruptcy before filing civil action. Personal injury claim was not listed as an asset in the bankruptcy case. As a matter of law, the personal injury claim became an asset of the bankruptcy estate. The complaint filed was a nullity because the plaintiff had no standing to bring the complaint. Since the statute of limitations had run, the claim is time barred.</w:t>
      </w:r>
    </w:p>
    <w:p w14:paraId="6ECD1A17" w14:textId="77777777" w:rsidR="009910CD" w:rsidRDefault="00FC2690" w:rsidP="00B629BE">
      <w:pPr>
        <w:spacing w:before="121"/>
        <w:ind w:left="720"/>
      </w:pPr>
      <w:r>
        <w:rPr>
          <w:color w:val="231F20"/>
        </w:rPr>
        <w:lastRenderedPageBreak/>
        <w:t>2010—</w:t>
      </w:r>
      <w:r>
        <w:rPr>
          <w:i/>
          <w:color w:val="231F20"/>
        </w:rPr>
        <w:t>Idoux v.</w:t>
      </w:r>
      <w:r w:rsidR="00B64C57">
        <w:rPr>
          <w:i/>
          <w:color w:val="231F20"/>
        </w:rPr>
        <w:t xml:space="preserve"> </w:t>
      </w:r>
      <w:r>
        <w:rPr>
          <w:i/>
          <w:color w:val="231F20"/>
        </w:rPr>
        <w:t>Helou</w:t>
      </w:r>
      <w:r>
        <w:rPr>
          <w:color w:val="231F20"/>
        </w:rPr>
        <w:t>, 279 Va.</w:t>
      </w:r>
      <w:r w:rsidR="00B64C57">
        <w:rPr>
          <w:color w:val="231F20"/>
        </w:rPr>
        <w:t xml:space="preserve"> </w:t>
      </w:r>
      <w:r>
        <w:rPr>
          <w:color w:val="231F20"/>
        </w:rPr>
        <w:t>548, 691 S.E.2d</w:t>
      </w:r>
      <w:r w:rsidR="00B64C57">
        <w:rPr>
          <w:color w:val="231F20"/>
        </w:rPr>
        <w:t xml:space="preserve"> </w:t>
      </w:r>
      <w:r>
        <w:rPr>
          <w:color w:val="231F20"/>
        </w:rPr>
        <w:t>773.</w:t>
      </w:r>
    </w:p>
    <w:p w14:paraId="4D6ECA55" w14:textId="174BF75A" w:rsidR="009910CD" w:rsidRDefault="00FC2690" w:rsidP="00CB4A05">
      <w:pPr>
        <w:pStyle w:val="BodyText"/>
        <w:spacing w:before="120" w:after="120"/>
        <w:ind w:left="1440"/>
        <w:jc w:val="both"/>
        <w:rPr>
          <w:color w:val="231F20"/>
        </w:rPr>
      </w:pPr>
      <w:r>
        <w:rPr>
          <w:color w:val="231F20"/>
        </w:rPr>
        <w:t>Plaintiff filed suit in General District Court against defendant after the defendant had died from causes unrelated to the alleged acts of negligence. The General District Court dismissed because of the improper identity of the defendant. A year later plaintiff files in the Circuit Court and identifies the defendant as being the estate of the decedent. This suit was filed within two years of the date of accident. The personal representative was served after the statute of limitations had expired. Tr</w:t>
      </w:r>
      <w:r w:rsidR="00AE3B68">
        <w:rPr>
          <w:color w:val="231F20"/>
        </w:rPr>
        <w:t>ial c</w:t>
      </w:r>
      <w:r>
        <w:rPr>
          <w:color w:val="231F20"/>
        </w:rPr>
        <w:t xml:space="preserve">ourt properly did not allow amend- ment under </w:t>
      </w:r>
      <w:r w:rsidR="002F24E0">
        <w:rPr>
          <w:color w:val="231F20"/>
        </w:rPr>
        <w:t xml:space="preserve">Va. Code </w:t>
      </w:r>
      <w:r>
        <w:rPr>
          <w:color w:val="231F20"/>
        </w:rPr>
        <w:t>§ 8.01-6.2 on the grounds that the suit against the estate was a nullity and did not toll the statute of</w:t>
      </w:r>
      <w:r w:rsidR="00B64C57">
        <w:rPr>
          <w:color w:val="231F20"/>
        </w:rPr>
        <w:t xml:space="preserve"> </w:t>
      </w:r>
      <w:r>
        <w:rPr>
          <w:color w:val="231F20"/>
        </w:rPr>
        <w:t>limitations.</w:t>
      </w:r>
    </w:p>
    <w:p w14:paraId="2E5500F6" w14:textId="78D9EF86" w:rsidR="009910CD" w:rsidRDefault="00FC2690" w:rsidP="0038514E">
      <w:pPr>
        <w:pStyle w:val="Heading4"/>
        <w:numPr>
          <w:ilvl w:val="0"/>
          <w:numId w:val="38"/>
        </w:numPr>
        <w:tabs>
          <w:tab w:val="left" w:pos="1170"/>
        </w:tabs>
        <w:ind w:left="2041" w:hanging="1321"/>
      </w:pPr>
      <w:r>
        <w:rPr>
          <w:color w:val="231F20"/>
        </w:rPr>
        <w:t>Statute of</w:t>
      </w:r>
      <w:r>
        <w:rPr>
          <w:color w:val="231F20"/>
          <w:spacing w:val="32"/>
        </w:rPr>
        <w:t xml:space="preserve"> </w:t>
      </w:r>
      <w:r>
        <w:rPr>
          <w:color w:val="231F20"/>
        </w:rPr>
        <w:t>Repose</w:t>
      </w:r>
    </w:p>
    <w:p w14:paraId="399286A7" w14:textId="7FF3E3FF" w:rsidR="00885FD7" w:rsidRDefault="00885FD7" w:rsidP="00885FD7">
      <w:pPr>
        <w:spacing w:before="136"/>
        <w:ind w:left="720"/>
      </w:pPr>
      <w:r>
        <w:rPr>
          <w:color w:val="231F20"/>
        </w:rPr>
        <w:t>2021—</w:t>
      </w:r>
      <w:r>
        <w:rPr>
          <w:i/>
          <w:color w:val="231F20"/>
        </w:rPr>
        <w:t>Potter v. BFK, Inc.</w:t>
      </w:r>
      <w:r>
        <w:rPr>
          <w:color w:val="231F20"/>
        </w:rPr>
        <w:t>, 300 Va. 177, 860 S.E.2d 703.</w:t>
      </w:r>
    </w:p>
    <w:p w14:paraId="454482D1" w14:textId="77777777" w:rsidR="00885FD7" w:rsidRDefault="00885FD7" w:rsidP="00885FD7">
      <w:pPr>
        <w:pStyle w:val="BodyText"/>
        <w:spacing w:before="120" w:after="120"/>
        <w:ind w:left="1440"/>
        <w:jc w:val="both"/>
        <w:rPr>
          <w:color w:val="231F20"/>
        </w:rPr>
      </w:pPr>
      <w:r>
        <w:rPr>
          <w:color w:val="231F20"/>
        </w:rPr>
        <w:t xml:space="preserve">In looking at whether item was equipment as opposed to ordinary building material, the court must determine whether the object has become so attached to a building or land as to constitute improvement to the real estate.  In this case a classifier used at a quarry to produce sand from crushed stone was equipment and not ordinary building material.  </w:t>
      </w:r>
    </w:p>
    <w:p w14:paraId="0E12AE4B" w14:textId="7A3AB72F" w:rsidR="009910CD" w:rsidRDefault="00885FD7" w:rsidP="00B629BE">
      <w:pPr>
        <w:spacing w:before="141" w:line="250" w:lineRule="exact"/>
        <w:ind w:left="720" w:right="821"/>
      </w:pPr>
      <w:r>
        <w:rPr>
          <w:color w:val="231F20"/>
        </w:rPr>
        <w:t>2</w:t>
      </w:r>
      <w:r w:rsidR="00FC2690">
        <w:rPr>
          <w:color w:val="231F20"/>
        </w:rPr>
        <w:t>011—</w:t>
      </w:r>
      <w:r w:rsidR="00FC2690">
        <w:rPr>
          <w:i/>
          <w:color w:val="231F20"/>
        </w:rPr>
        <w:t>Royal Indemnity Company v. Tyco Fire Products</w:t>
      </w:r>
      <w:r w:rsidR="00FC2690">
        <w:rPr>
          <w:color w:val="231F20"/>
        </w:rPr>
        <w:t>, 281 Va. 157, 704 S.E.2d 91.</w:t>
      </w:r>
    </w:p>
    <w:p w14:paraId="7DB52D50" w14:textId="77777777" w:rsidR="009910CD" w:rsidRPr="00C97952" w:rsidRDefault="00FC2690" w:rsidP="00CB4A05">
      <w:pPr>
        <w:pStyle w:val="BodyText"/>
        <w:spacing w:before="120" w:after="120"/>
        <w:ind w:left="1440"/>
        <w:jc w:val="both"/>
        <w:rPr>
          <w:color w:val="231F20"/>
        </w:rPr>
      </w:pPr>
      <w:r>
        <w:rPr>
          <w:color w:val="231F20"/>
        </w:rPr>
        <w:t>Exterior sidewalk sprinkler heads are equipment under the statue of repose and are not ordinary building material and as such the</w:t>
      </w:r>
      <w:r w:rsidRPr="00C97952">
        <w:rPr>
          <w:color w:val="231F20"/>
        </w:rPr>
        <w:t xml:space="preserve"> </w:t>
      </w:r>
      <w:r>
        <w:rPr>
          <w:color w:val="231F20"/>
        </w:rPr>
        <w:t>statute of repose does not bar the</w:t>
      </w:r>
      <w:r w:rsidR="00B64C57">
        <w:rPr>
          <w:color w:val="231F20"/>
        </w:rPr>
        <w:t xml:space="preserve"> </w:t>
      </w:r>
      <w:r>
        <w:rPr>
          <w:color w:val="231F20"/>
        </w:rPr>
        <w:t>claim.</w:t>
      </w:r>
    </w:p>
    <w:p w14:paraId="2A984D80" w14:textId="77777777" w:rsidR="009910CD" w:rsidRDefault="00FC2690" w:rsidP="00130C4A">
      <w:pPr>
        <w:spacing w:before="119" w:line="246" w:lineRule="exact"/>
        <w:ind w:left="720"/>
      </w:pPr>
      <w:r>
        <w:rPr>
          <w:color w:val="231F20"/>
        </w:rPr>
        <w:t>2010—</w:t>
      </w:r>
      <w:r>
        <w:rPr>
          <w:i/>
          <w:color w:val="231F20"/>
        </w:rPr>
        <w:t>Jamerson v.</w:t>
      </w:r>
      <w:r w:rsidR="00B64C57">
        <w:rPr>
          <w:i/>
          <w:color w:val="231F20"/>
        </w:rPr>
        <w:t xml:space="preserve"> </w:t>
      </w:r>
      <w:r>
        <w:rPr>
          <w:i/>
          <w:color w:val="231F20"/>
        </w:rPr>
        <w:t>Coleman-Adams Construction</w:t>
      </w:r>
      <w:r>
        <w:rPr>
          <w:color w:val="231F20"/>
        </w:rPr>
        <w:t>, 280 Va.</w:t>
      </w:r>
      <w:r w:rsidR="00B64C57">
        <w:rPr>
          <w:color w:val="231F20"/>
        </w:rPr>
        <w:t xml:space="preserve"> </w:t>
      </w:r>
      <w:r>
        <w:rPr>
          <w:color w:val="231F20"/>
        </w:rPr>
        <w:t>490, 699</w:t>
      </w:r>
      <w:r w:rsidR="00130C4A">
        <w:rPr>
          <w:color w:val="231F20"/>
        </w:rPr>
        <w:t xml:space="preserve"> </w:t>
      </w:r>
      <w:r>
        <w:rPr>
          <w:color w:val="231F20"/>
        </w:rPr>
        <w:t>S.E.2d 197.</w:t>
      </w:r>
    </w:p>
    <w:p w14:paraId="2FE1EFA8" w14:textId="28D3D08C" w:rsidR="009910CD" w:rsidRDefault="00FC2690" w:rsidP="00CB4A05">
      <w:pPr>
        <w:pStyle w:val="BodyText"/>
        <w:spacing w:before="120" w:after="120"/>
        <w:ind w:left="1440"/>
        <w:jc w:val="both"/>
        <w:rPr>
          <w:color w:val="231F20"/>
        </w:rPr>
      </w:pPr>
      <w:r>
        <w:rPr>
          <w:color w:val="231F20"/>
        </w:rPr>
        <w:t>Claim is barred by statute of repose because it was filed more than five years after the date of construction. The defective material in question was a steel platform and pole which collapsed causing injury. These items were not equipment, machinery or other articles but were ordinary building materials and therefore governed by the statute of repose.</w:t>
      </w:r>
    </w:p>
    <w:p w14:paraId="09B3D6CD" w14:textId="39ED85D6"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1.25</w:t>
      </w:r>
      <w:r>
        <w:rPr>
          <w:color w:val="231F20"/>
        </w:rPr>
        <w:tab/>
        <w:t>Minors</w:t>
      </w:r>
    </w:p>
    <w:p w14:paraId="534436FC" w14:textId="77777777" w:rsidR="009910CD" w:rsidRDefault="00FC2690" w:rsidP="0038514E">
      <w:pPr>
        <w:tabs>
          <w:tab w:val="left" w:pos="1170"/>
        </w:tabs>
        <w:spacing w:before="95"/>
        <w:ind w:left="720"/>
        <w:rPr>
          <w:b/>
        </w:rPr>
      </w:pPr>
      <w:r>
        <w:rPr>
          <w:b/>
          <w:color w:val="231F20"/>
        </w:rPr>
        <w:t>[3]</w:t>
      </w:r>
      <w:r>
        <w:rPr>
          <w:b/>
          <w:color w:val="231F20"/>
        </w:rPr>
        <w:tab/>
        <w:t>Duty</w:t>
      </w:r>
      <w:r>
        <w:rPr>
          <w:b/>
          <w:color w:val="231F20"/>
          <w:spacing w:val="14"/>
        </w:rPr>
        <w:t xml:space="preserve"> </w:t>
      </w:r>
      <w:r>
        <w:rPr>
          <w:b/>
          <w:color w:val="231F20"/>
          <w:spacing w:val="-4"/>
        </w:rPr>
        <w:t>Toward</w:t>
      </w:r>
    </w:p>
    <w:p w14:paraId="7AFE4A71" w14:textId="77777777" w:rsidR="009910CD" w:rsidRDefault="00FC2690" w:rsidP="00B629BE">
      <w:pPr>
        <w:spacing w:before="135"/>
        <w:ind w:left="720"/>
      </w:pPr>
      <w:r>
        <w:rPr>
          <w:color w:val="231F20"/>
        </w:rPr>
        <w:t>2014—</w:t>
      </w:r>
      <w:r>
        <w:rPr>
          <w:i/>
          <w:color w:val="231F20"/>
        </w:rPr>
        <w:t>Lasley v.</w:t>
      </w:r>
      <w:r w:rsidR="00B64C57">
        <w:rPr>
          <w:i/>
          <w:color w:val="231F20"/>
        </w:rPr>
        <w:t xml:space="preserve"> </w:t>
      </w:r>
      <w:r>
        <w:rPr>
          <w:i/>
          <w:color w:val="231F20"/>
        </w:rPr>
        <w:t>Hylton</w:t>
      </w:r>
      <w:r>
        <w:rPr>
          <w:color w:val="231F20"/>
        </w:rPr>
        <w:t xml:space="preserve">, </w:t>
      </w:r>
      <w:r w:rsidR="00D47803" w:rsidRPr="00D47803">
        <w:rPr>
          <w:color w:val="231F20"/>
        </w:rPr>
        <w:t>288 Va. 419</w:t>
      </w:r>
      <w:r w:rsidR="00D47803">
        <w:rPr>
          <w:rFonts w:ascii="Georgia" w:hAnsi="Georgia"/>
          <w:color w:val="212121"/>
          <w:sz w:val="21"/>
          <w:szCs w:val="21"/>
        </w:rPr>
        <w:t xml:space="preserve">, </w:t>
      </w:r>
      <w:r>
        <w:rPr>
          <w:color w:val="231F20"/>
        </w:rPr>
        <w:t>764 S.E.2d 88.</w:t>
      </w:r>
    </w:p>
    <w:p w14:paraId="087ADCA5" w14:textId="77777777" w:rsidR="009910CD" w:rsidRDefault="00FC2690" w:rsidP="00185AFE">
      <w:pPr>
        <w:pStyle w:val="BodyText"/>
        <w:spacing w:before="120" w:after="120"/>
        <w:ind w:left="1440"/>
        <w:jc w:val="both"/>
        <w:rPr>
          <w:color w:val="231F20"/>
        </w:rPr>
      </w:pPr>
      <w:r>
        <w:rPr>
          <w:color w:val="231F20"/>
        </w:rPr>
        <w:t xml:space="preserve">Minor child injured while driving </w:t>
      </w:r>
      <w:r w:rsidRPr="00130C4A">
        <w:rPr>
          <w:color w:val="231F20"/>
        </w:rPr>
        <w:t xml:space="preserve">ATV </w:t>
      </w:r>
      <w:r>
        <w:rPr>
          <w:color w:val="231F20"/>
        </w:rPr>
        <w:t xml:space="preserve">at home of host. Father is present and consents to the child operating the </w:t>
      </w:r>
      <w:r w:rsidRPr="00130C4A">
        <w:rPr>
          <w:color w:val="231F20"/>
        </w:rPr>
        <w:t xml:space="preserve">ATV. </w:t>
      </w:r>
      <w:r>
        <w:rPr>
          <w:color w:val="231F20"/>
        </w:rPr>
        <w:t>When parent is actively supervising child then parent’s duty supersedes that of</w:t>
      </w:r>
      <w:r w:rsidRPr="00130C4A">
        <w:rPr>
          <w:color w:val="231F20"/>
        </w:rPr>
        <w:t xml:space="preserve"> </w:t>
      </w:r>
      <w:r>
        <w:rPr>
          <w:color w:val="231F20"/>
        </w:rPr>
        <w:t>host.</w:t>
      </w:r>
    </w:p>
    <w:p w14:paraId="6C6F68B3" w14:textId="77777777" w:rsidR="00E0373C" w:rsidRDefault="00E0373C" w:rsidP="0038514E">
      <w:pPr>
        <w:tabs>
          <w:tab w:val="left" w:pos="1170"/>
        </w:tabs>
        <w:spacing w:before="95"/>
        <w:ind w:left="720"/>
        <w:rPr>
          <w:b/>
        </w:rPr>
      </w:pPr>
      <w:r>
        <w:rPr>
          <w:b/>
          <w:color w:val="231F20"/>
        </w:rPr>
        <w:t>[4]</w:t>
      </w:r>
      <w:r>
        <w:rPr>
          <w:b/>
          <w:color w:val="231F20"/>
        </w:rPr>
        <w:tab/>
        <w:t>Parent/Child</w:t>
      </w:r>
    </w:p>
    <w:p w14:paraId="0910952A" w14:textId="77777777" w:rsidR="009910CD" w:rsidRPr="00130C4A" w:rsidRDefault="008001E6" w:rsidP="002046B8">
      <w:pPr>
        <w:pStyle w:val="BodyText"/>
        <w:spacing w:before="73" w:line="252" w:lineRule="auto"/>
        <w:ind w:left="720"/>
        <w:jc w:val="both"/>
        <w:rPr>
          <w:color w:val="231F20"/>
        </w:rPr>
      </w:pPr>
      <w:r w:rsidRPr="002046B8">
        <w:rPr>
          <w:i/>
          <w:iCs/>
          <w:color w:val="231F20"/>
        </w:rPr>
        <w:t>See</w:t>
      </w:r>
      <w:r>
        <w:rPr>
          <w:color w:val="231F20"/>
        </w:rPr>
        <w:t xml:space="preserve"> </w:t>
      </w:r>
      <w:r w:rsidRPr="00130C4A">
        <w:rPr>
          <w:color w:val="231F20"/>
        </w:rPr>
        <w:t>Virginia Code</w:t>
      </w:r>
      <w:r w:rsidR="00E0373C" w:rsidRPr="00130C4A">
        <w:rPr>
          <w:color w:val="231F20"/>
        </w:rPr>
        <w:t xml:space="preserve"> § 8.01-36 as to joinder of infant.</w:t>
      </w:r>
    </w:p>
    <w:p w14:paraId="5C3722BB" w14:textId="77777777" w:rsidR="00E32700" w:rsidRPr="00E0373C" w:rsidRDefault="00E32700" w:rsidP="00A3660B">
      <w:pPr>
        <w:pStyle w:val="Heading4"/>
        <w:tabs>
          <w:tab w:val="left" w:pos="2194"/>
        </w:tabs>
        <w:spacing w:before="0"/>
        <w:ind w:left="1800"/>
        <w:rPr>
          <w:b w:val="0"/>
        </w:rPr>
      </w:pPr>
    </w:p>
    <w:p w14:paraId="4A3C3BCC" w14:textId="77777777" w:rsidR="00D95048" w:rsidRPr="00324C7E" w:rsidRDefault="00D95048"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1.26</w:t>
      </w:r>
      <w:r>
        <w:rPr>
          <w:color w:val="231F20"/>
        </w:rPr>
        <w:tab/>
        <w:t>Negligence Per Se</w:t>
      </w:r>
    </w:p>
    <w:p w14:paraId="03CECF1D" w14:textId="77777777" w:rsidR="009910CD" w:rsidRDefault="00FC2690" w:rsidP="009B4A63">
      <w:pPr>
        <w:spacing w:before="141" w:line="250" w:lineRule="exact"/>
        <w:ind w:left="720" w:right="821"/>
      </w:pPr>
      <w:r>
        <w:rPr>
          <w:color w:val="231F20"/>
        </w:rPr>
        <w:t>2011—</w:t>
      </w:r>
      <w:r>
        <w:rPr>
          <w:i/>
          <w:color w:val="231F20"/>
        </w:rPr>
        <w:t>Kaltman v. All American Pest Control</w:t>
      </w:r>
      <w:r>
        <w:rPr>
          <w:color w:val="231F20"/>
        </w:rPr>
        <w:t>, 281 Va. 483, 706 S.E.2d 864.</w:t>
      </w:r>
    </w:p>
    <w:p w14:paraId="2FEC4262" w14:textId="77777777" w:rsidR="009910CD" w:rsidRDefault="00FC2690" w:rsidP="00185AFE">
      <w:pPr>
        <w:pStyle w:val="BodyText"/>
        <w:spacing w:before="120" w:after="120"/>
        <w:ind w:left="1440"/>
        <w:jc w:val="both"/>
        <w:rPr>
          <w:color w:val="231F20"/>
        </w:rPr>
      </w:pPr>
      <w:r>
        <w:rPr>
          <w:color w:val="231F20"/>
        </w:rPr>
        <w:t>In</w:t>
      </w:r>
      <w:r w:rsidRPr="00130C4A">
        <w:rPr>
          <w:color w:val="231F20"/>
        </w:rPr>
        <w:t xml:space="preserve"> </w:t>
      </w:r>
      <w:r>
        <w:rPr>
          <w:color w:val="231F20"/>
        </w:rPr>
        <w:t>a</w:t>
      </w:r>
      <w:r w:rsidRPr="00130C4A">
        <w:rPr>
          <w:color w:val="231F20"/>
        </w:rPr>
        <w:t xml:space="preserve"> </w:t>
      </w:r>
      <w:r>
        <w:rPr>
          <w:color w:val="231F20"/>
        </w:rPr>
        <w:t>negligence</w:t>
      </w:r>
      <w:r w:rsidRPr="00130C4A">
        <w:rPr>
          <w:color w:val="231F20"/>
        </w:rPr>
        <w:t xml:space="preserve"> </w:t>
      </w:r>
      <w:r>
        <w:rPr>
          <w:color w:val="231F20"/>
        </w:rPr>
        <w:t>per</w:t>
      </w:r>
      <w:r w:rsidRPr="00130C4A">
        <w:rPr>
          <w:color w:val="231F20"/>
        </w:rPr>
        <w:t xml:space="preserve"> </w:t>
      </w:r>
      <w:r>
        <w:rPr>
          <w:color w:val="231F20"/>
        </w:rPr>
        <w:t>se</w:t>
      </w:r>
      <w:r w:rsidRPr="00130C4A">
        <w:rPr>
          <w:color w:val="231F20"/>
        </w:rPr>
        <w:t xml:space="preserve"> </w:t>
      </w:r>
      <w:r>
        <w:rPr>
          <w:color w:val="231F20"/>
        </w:rPr>
        <w:t>case</w:t>
      </w:r>
      <w:r w:rsidRPr="00130C4A">
        <w:rPr>
          <w:color w:val="231F20"/>
        </w:rPr>
        <w:t xml:space="preserve"> </w:t>
      </w:r>
      <w:r>
        <w:rPr>
          <w:color w:val="231F20"/>
        </w:rPr>
        <w:t>the</w:t>
      </w:r>
      <w:r w:rsidRPr="00130C4A">
        <w:rPr>
          <w:color w:val="231F20"/>
        </w:rPr>
        <w:t xml:space="preserve"> </w:t>
      </w:r>
      <w:r>
        <w:rPr>
          <w:color w:val="231F20"/>
        </w:rPr>
        <w:t>plaintiff</w:t>
      </w:r>
      <w:r w:rsidRPr="00130C4A">
        <w:rPr>
          <w:color w:val="231F20"/>
        </w:rPr>
        <w:t xml:space="preserve"> </w:t>
      </w:r>
      <w:r>
        <w:rPr>
          <w:color w:val="231F20"/>
        </w:rPr>
        <w:t>must</w:t>
      </w:r>
      <w:r w:rsidRPr="00130C4A">
        <w:rPr>
          <w:color w:val="231F20"/>
        </w:rPr>
        <w:t xml:space="preserve"> </w:t>
      </w:r>
      <w:r>
        <w:rPr>
          <w:color w:val="231F20"/>
        </w:rPr>
        <w:t>show</w:t>
      </w:r>
      <w:r w:rsidRPr="00130C4A">
        <w:rPr>
          <w:color w:val="231F20"/>
        </w:rPr>
        <w:t xml:space="preserve"> </w:t>
      </w:r>
      <w:r>
        <w:rPr>
          <w:color w:val="231F20"/>
        </w:rPr>
        <w:t>that</w:t>
      </w:r>
      <w:r w:rsidRPr="00130C4A">
        <w:rPr>
          <w:color w:val="231F20"/>
        </w:rPr>
        <w:t xml:space="preserve"> </w:t>
      </w:r>
      <w:r>
        <w:rPr>
          <w:color w:val="231F20"/>
        </w:rPr>
        <w:t>the</w:t>
      </w:r>
      <w:r w:rsidRPr="00130C4A">
        <w:rPr>
          <w:color w:val="231F20"/>
        </w:rPr>
        <w:t xml:space="preserve"> </w:t>
      </w:r>
      <w:r>
        <w:rPr>
          <w:color w:val="231F20"/>
        </w:rPr>
        <w:t xml:space="preserve">defendant violated a statute enacted for public </w:t>
      </w:r>
      <w:r w:rsidRPr="00130C4A">
        <w:rPr>
          <w:color w:val="231F20"/>
        </w:rPr>
        <w:t xml:space="preserve">safety, </w:t>
      </w:r>
      <w:r>
        <w:rPr>
          <w:color w:val="231F20"/>
        </w:rPr>
        <w:t>that the plaintiff belongs to</w:t>
      </w:r>
      <w:r w:rsidRPr="00130C4A">
        <w:rPr>
          <w:color w:val="231F20"/>
        </w:rPr>
        <w:t xml:space="preserve"> </w:t>
      </w:r>
      <w:r>
        <w:rPr>
          <w:color w:val="231F20"/>
        </w:rPr>
        <w:t>the</w:t>
      </w:r>
      <w:r w:rsidRPr="00130C4A">
        <w:rPr>
          <w:color w:val="231F20"/>
        </w:rPr>
        <w:t xml:space="preserve"> </w:t>
      </w:r>
      <w:r>
        <w:rPr>
          <w:color w:val="231F20"/>
        </w:rPr>
        <w:t>class</w:t>
      </w:r>
      <w:r w:rsidRPr="00130C4A">
        <w:rPr>
          <w:color w:val="231F20"/>
        </w:rPr>
        <w:t xml:space="preserve"> </w:t>
      </w:r>
      <w:r>
        <w:rPr>
          <w:color w:val="231F20"/>
        </w:rPr>
        <w:t>of</w:t>
      </w:r>
      <w:r w:rsidRPr="00130C4A">
        <w:rPr>
          <w:color w:val="231F20"/>
        </w:rPr>
        <w:t xml:space="preserve"> </w:t>
      </w:r>
      <w:r>
        <w:rPr>
          <w:color w:val="231F20"/>
        </w:rPr>
        <w:t>persons</w:t>
      </w:r>
      <w:r w:rsidRPr="00130C4A">
        <w:rPr>
          <w:color w:val="231F20"/>
        </w:rPr>
        <w:t xml:space="preserve"> </w:t>
      </w:r>
      <w:r>
        <w:rPr>
          <w:color w:val="231F20"/>
        </w:rPr>
        <w:t>for</w:t>
      </w:r>
      <w:r w:rsidRPr="00130C4A">
        <w:rPr>
          <w:color w:val="231F20"/>
        </w:rPr>
        <w:t xml:space="preserve"> </w:t>
      </w:r>
      <w:r>
        <w:rPr>
          <w:color w:val="231F20"/>
        </w:rPr>
        <w:t>whose</w:t>
      </w:r>
      <w:r w:rsidRPr="00130C4A">
        <w:rPr>
          <w:color w:val="231F20"/>
        </w:rPr>
        <w:t xml:space="preserve"> </w:t>
      </w:r>
      <w:r>
        <w:rPr>
          <w:color w:val="231F20"/>
        </w:rPr>
        <w:t>benefits</w:t>
      </w:r>
      <w:r w:rsidRPr="00130C4A">
        <w:rPr>
          <w:color w:val="231F20"/>
        </w:rPr>
        <w:t xml:space="preserve"> </w:t>
      </w:r>
      <w:r>
        <w:rPr>
          <w:color w:val="231F20"/>
        </w:rPr>
        <w:t>the</w:t>
      </w:r>
      <w:r w:rsidRPr="00130C4A">
        <w:rPr>
          <w:color w:val="231F20"/>
        </w:rPr>
        <w:t xml:space="preserve"> </w:t>
      </w:r>
      <w:r>
        <w:rPr>
          <w:color w:val="231F20"/>
        </w:rPr>
        <w:t>statute</w:t>
      </w:r>
      <w:r w:rsidRPr="00130C4A">
        <w:rPr>
          <w:color w:val="231F20"/>
        </w:rPr>
        <w:t xml:space="preserve"> </w:t>
      </w:r>
      <w:r>
        <w:rPr>
          <w:color w:val="231F20"/>
        </w:rPr>
        <w:t>was</w:t>
      </w:r>
      <w:r w:rsidRPr="00130C4A">
        <w:rPr>
          <w:color w:val="231F20"/>
        </w:rPr>
        <w:t xml:space="preserve"> </w:t>
      </w:r>
      <w:r>
        <w:rPr>
          <w:color w:val="231F20"/>
        </w:rPr>
        <w:t>enacted</w:t>
      </w:r>
      <w:r w:rsidRPr="00130C4A">
        <w:rPr>
          <w:color w:val="231F20"/>
        </w:rPr>
        <w:t xml:space="preserve"> </w:t>
      </w:r>
      <w:r>
        <w:rPr>
          <w:color w:val="231F20"/>
        </w:rPr>
        <w:t xml:space="preserve">and that the harm that occurred was of the type against which the statute was designed to protect and finally that the violation was a proximate cause of the plaintiff’s </w:t>
      </w:r>
      <w:r w:rsidRPr="00130C4A">
        <w:rPr>
          <w:color w:val="231F20"/>
        </w:rPr>
        <w:t xml:space="preserve">injury. </w:t>
      </w:r>
      <w:r>
        <w:rPr>
          <w:color w:val="231F20"/>
        </w:rPr>
        <w:t>In this case, the plaintiff alleged spraying of an unauthorized pesticide within the plaintiff’s home. Plaintiff properly pled negligence per se</w:t>
      </w:r>
      <w:r w:rsidR="00B64C57">
        <w:rPr>
          <w:color w:val="231F20"/>
        </w:rPr>
        <w:t xml:space="preserve"> </w:t>
      </w:r>
      <w:r>
        <w:rPr>
          <w:color w:val="231F20"/>
        </w:rPr>
        <w:t>claim.</w:t>
      </w:r>
    </w:p>
    <w:p w14:paraId="16A21514" w14:textId="3150A73E" w:rsidR="00677AF1" w:rsidRPr="00324C7E" w:rsidRDefault="00677AF1" w:rsidP="00677AF1">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1.29</w:t>
      </w:r>
      <w:r>
        <w:rPr>
          <w:color w:val="231F20"/>
        </w:rPr>
        <w:tab/>
      </w:r>
      <w:r w:rsidR="00885FD7">
        <w:rPr>
          <w:color w:val="231F20"/>
        </w:rPr>
        <w:t>Ownership</w:t>
      </w:r>
    </w:p>
    <w:p w14:paraId="5697286E" w14:textId="77777777" w:rsidR="007A00D1" w:rsidRDefault="007A00D1" w:rsidP="00324C7E">
      <w:pPr>
        <w:pStyle w:val="Heading4"/>
        <w:tabs>
          <w:tab w:val="left" w:pos="720"/>
        </w:tabs>
        <w:spacing w:before="0" w:line="241" w:lineRule="exact"/>
        <w:ind w:left="0"/>
        <w:rPr>
          <w:b w:val="0"/>
          <w:bCs w:val="0"/>
          <w:color w:val="231F20"/>
        </w:rPr>
      </w:pPr>
    </w:p>
    <w:p w14:paraId="7BBDEE35" w14:textId="4173FB60" w:rsidR="00885FD7" w:rsidRDefault="00885FD7" w:rsidP="00165098">
      <w:pPr>
        <w:pStyle w:val="BodyText"/>
        <w:ind w:left="720"/>
        <w:jc w:val="both"/>
      </w:pPr>
      <w:r w:rsidRPr="002046B8">
        <w:rPr>
          <w:i/>
          <w:iCs/>
        </w:rPr>
        <w:t>See</w:t>
      </w:r>
      <w:r w:rsidRPr="00885FD7">
        <w:t xml:space="preserve"> </w:t>
      </w:r>
      <w:r w:rsidR="002F24E0">
        <w:t>Va.</w:t>
      </w:r>
      <w:r w:rsidRPr="00885FD7">
        <w:t xml:space="preserve"> Code § 8.01-279 as to </w:t>
      </w:r>
      <w:r w:rsidR="00165098">
        <w:t>proof</w:t>
      </w:r>
      <w:r w:rsidRPr="00885FD7">
        <w:t xml:space="preserve"> of ownership, control, handwriting, partnership and incorporation.</w:t>
      </w:r>
    </w:p>
    <w:p w14:paraId="115A64C0" w14:textId="18F712C3" w:rsidR="00885FD7" w:rsidRDefault="00343A15" w:rsidP="00165098">
      <w:pPr>
        <w:pStyle w:val="BodyText"/>
        <w:ind w:left="720"/>
        <w:jc w:val="both"/>
      </w:pPr>
      <w:r w:rsidRPr="002046B8">
        <w:rPr>
          <w:i/>
          <w:iCs/>
        </w:rPr>
        <w:lastRenderedPageBreak/>
        <w:t>See</w:t>
      </w:r>
      <w:r>
        <w:t xml:space="preserve"> Virginia Supreme Court Rule 1:10</w:t>
      </w:r>
      <w:r w:rsidR="00165098">
        <w:t>. Where affidavit may be required</w:t>
      </w:r>
      <w:r w:rsidR="00D07C8A">
        <w:t>,</w:t>
      </w:r>
      <w:r w:rsidR="00165098">
        <w:t xml:space="preserve"> if the pleading contains all of the allegations required, then the party seeking the affidavit must file an objection within seven (7) days after the pleading is filed, otherwise the objection to the lack of an affidavit is waived.  If the pleading does not contain all of the allegations required, then the underlying statute may control. </w:t>
      </w:r>
    </w:p>
    <w:p w14:paraId="171AC008" w14:textId="77777777" w:rsidR="00343A15" w:rsidRDefault="00343A15" w:rsidP="00343A15">
      <w:pPr>
        <w:pStyle w:val="BodyText"/>
        <w:ind w:left="720"/>
        <w:rPr>
          <w:color w:val="231F20"/>
        </w:rPr>
      </w:pPr>
    </w:p>
    <w:p w14:paraId="7EE7E7C8" w14:textId="77F723A4"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1.31</w:t>
      </w:r>
      <w:r>
        <w:rPr>
          <w:color w:val="231F20"/>
        </w:rPr>
        <w:tab/>
        <w:t>Proximate</w:t>
      </w:r>
      <w:r w:rsidRPr="00324C7E">
        <w:rPr>
          <w:color w:val="231F20"/>
        </w:rPr>
        <w:t xml:space="preserve"> </w:t>
      </w:r>
      <w:r>
        <w:rPr>
          <w:color w:val="231F20"/>
        </w:rPr>
        <w:t>Cause</w:t>
      </w:r>
    </w:p>
    <w:p w14:paraId="21B3D0C1" w14:textId="77777777" w:rsidR="009910CD" w:rsidRDefault="00FC2690" w:rsidP="00AF062B">
      <w:pPr>
        <w:pStyle w:val="ListParagraph"/>
        <w:numPr>
          <w:ilvl w:val="0"/>
          <w:numId w:val="52"/>
        </w:numPr>
        <w:spacing w:before="96"/>
        <w:ind w:left="1170" w:hanging="450"/>
        <w:rPr>
          <w:b/>
        </w:rPr>
      </w:pPr>
      <w:r>
        <w:rPr>
          <w:b/>
          <w:color w:val="231F20"/>
        </w:rPr>
        <w:t>Damages</w:t>
      </w:r>
    </w:p>
    <w:p w14:paraId="0A5C4193" w14:textId="77777777" w:rsidR="009910CD" w:rsidRDefault="00FC2690" w:rsidP="009B4A63">
      <w:pPr>
        <w:spacing w:before="136"/>
        <w:ind w:left="720"/>
      </w:pPr>
      <w:r>
        <w:rPr>
          <w:color w:val="231F20"/>
        </w:rPr>
        <w:t>201</w:t>
      </w:r>
      <w:r w:rsidR="001A6256">
        <w:rPr>
          <w:color w:val="231F20"/>
        </w:rPr>
        <w:t>8</w:t>
      </w:r>
      <w:r>
        <w:rPr>
          <w:color w:val="231F20"/>
        </w:rPr>
        <w:t>—</w:t>
      </w:r>
      <w:r w:rsidR="001A6256">
        <w:rPr>
          <w:i/>
          <w:color w:val="231F20"/>
        </w:rPr>
        <w:t>Dixon</w:t>
      </w:r>
      <w:r>
        <w:rPr>
          <w:i/>
          <w:color w:val="231F20"/>
        </w:rPr>
        <w:t xml:space="preserve"> v.</w:t>
      </w:r>
      <w:r w:rsidR="00B64C57">
        <w:rPr>
          <w:i/>
          <w:color w:val="231F20"/>
        </w:rPr>
        <w:t xml:space="preserve"> </w:t>
      </w:r>
      <w:r w:rsidR="001A6256">
        <w:rPr>
          <w:i/>
          <w:color w:val="231F20"/>
        </w:rPr>
        <w:t>Sublett</w:t>
      </w:r>
      <w:r>
        <w:rPr>
          <w:color w:val="231F20"/>
        </w:rPr>
        <w:t>, 2</w:t>
      </w:r>
      <w:r w:rsidR="001A6256">
        <w:rPr>
          <w:color w:val="231F20"/>
        </w:rPr>
        <w:t>9</w:t>
      </w:r>
      <w:r>
        <w:rPr>
          <w:color w:val="231F20"/>
        </w:rPr>
        <w:t>5 Va.</w:t>
      </w:r>
      <w:r w:rsidR="00B64C57">
        <w:rPr>
          <w:color w:val="231F20"/>
        </w:rPr>
        <w:t xml:space="preserve"> </w:t>
      </w:r>
      <w:r w:rsidR="001A6256">
        <w:rPr>
          <w:color w:val="231F20"/>
        </w:rPr>
        <w:t>60</w:t>
      </w:r>
      <w:r>
        <w:rPr>
          <w:color w:val="231F20"/>
        </w:rPr>
        <w:t xml:space="preserve">, </w:t>
      </w:r>
      <w:r w:rsidR="001A6256">
        <w:rPr>
          <w:color w:val="231F20"/>
        </w:rPr>
        <w:t>809</w:t>
      </w:r>
      <w:r>
        <w:rPr>
          <w:color w:val="231F20"/>
        </w:rPr>
        <w:t xml:space="preserve"> S.E.2d</w:t>
      </w:r>
      <w:r w:rsidR="00B64C57">
        <w:rPr>
          <w:color w:val="231F20"/>
        </w:rPr>
        <w:t xml:space="preserve"> </w:t>
      </w:r>
      <w:r w:rsidR="001A6256">
        <w:rPr>
          <w:color w:val="231F20"/>
        </w:rPr>
        <w:t>617</w:t>
      </w:r>
      <w:r>
        <w:rPr>
          <w:color w:val="231F20"/>
        </w:rPr>
        <w:t>.</w:t>
      </w:r>
    </w:p>
    <w:p w14:paraId="104C667E" w14:textId="77777777" w:rsidR="009910CD" w:rsidRDefault="00BB52DF" w:rsidP="00185AFE">
      <w:pPr>
        <w:pStyle w:val="BodyText"/>
        <w:spacing w:before="120" w:after="120"/>
        <w:ind w:left="1440"/>
        <w:jc w:val="both"/>
        <w:rPr>
          <w:color w:val="231F20"/>
        </w:rPr>
      </w:pPr>
      <w:r>
        <w:rPr>
          <w:color w:val="231F20"/>
        </w:rPr>
        <w:t xml:space="preserve">In this medical malpractice action plaintiff failed to present sufficient evidence to prove causation of injury resulting from two (2) day delay in treatment of perforated bowel during the performance of a hysterectomy.  </w:t>
      </w:r>
    </w:p>
    <w:p w14:paraId="5E04AB31" w14:textId="7845B6A3" w:rsidR="001A6256" w:rsidRDefault="001A6256" w:rsidP="009B4A63">
      <w:pPr>
        <w:spacing w:before="136"/>
        <w:ind w:left="720"/>
      </w:pPr>
      <w:r>
        <w:rPr>
          <w:color w:val="231F20"/>
        </w:rPr>
        <w:t>2013—</w:t>
      </w:r>
      <w:r>
        <w:rPr>
          <w:i/>
          <w:color w:val="231F20"/>
        </w:rPr>
        <w:t>Ford Motor Company v. Boomer</w:t>
      </w:r>
      <w:r>
        <w:rPr>
          <w:color w:val="231F20"/>
        </w:rPr>
        <w:t>, 285 Va. 141, 736 S.E.2d 724.</w:t>
      </w:r>
    </w:p>
    <w:p w14:paraId="74285236" w14:textId="77777777" w:rsidR="001A6256" w:rsidRPr="00130C4A" w:rsidRDefault="001A6256" w:rsidP="00185AFE">
      <w:pPr>
        <w:pStyle w:val="BodyText"/>
        <w:spacing w:before="120" w:after="120"/>
        <w:ind w:left="1440"/>
        <w:jc w:val="both"/>
        <w:rPr>
          <w:color w:val="231F20"/>
        </w:rPr>
      </w:pPr>
      <w:r>
        <w:rPr>
          <w:color w:val="231F20"/>
        </w:rPr>
        <w:t>In this asbestos case, court dealt with issue of proper instruction on proximate cause. Use of the multiple sufficient causes approach is proper whether the concurring causes are all tortious in nature or some are innocent. Trial court erred in failing to sustain objections to “substantial contributing factor” jury instructions. Court should have granted instructions dealing with “sufficient to have caused” standard.</w:t>
      </w:r>
    </w:p>
    <w:p w14:paraId="49E6D289" w14:textId="77777777" w:rsidR="009910CD" w:rsidRDefault="00FC2690" w:rsidP="009B4A63">
      <w:pPr>
        <w:spacing w:before="121"/>
        <w:ind w:left="720"/>
      </w:pPr>
      <w:r>
        <w:rPr>
          <w:color w:val="231F20"/>
        </w:rPr>
        <w:t>2009—</w:t>
      </w:r>
      <w:r>
        <w:rPr>
          <w:i/>
          <w:color w:val="231F20"/>
        </w:rPr>
        <w:t>Smith v.</w:t>
      </w:r>
      <w:r w:rsidR="00B64C57">
        <w:rPr>
          <w:i/>
          <w:color w:val="231F20"/>
        </w:rPr>
        <w:t xml:space="preserve"> </w:t>
      </w:r>
      <w:r>
        <w:rPr>
          <w:i/>
          <w:color w:val="231F20"/>
        </w:rPr>
        <w:t>Kim</w:t>
      </w:r>
      <w:r>
        <w:rPr>
          <w:color w:val="231F20"/>
        </w:rPr>
        <w:t>, 277 Va.</w:t>
      </w:r>
      <w:r w:rsidR="00B64C57">
        <w:rPr>
          <w:color w:val="231F20"/>
        </w:rPr>
        <w:t xml:space="preserve"> </w:t>
      </w:r>
      <w:r>
        <w:rPr>
          <w:color w:val="231F20"/>
        </w:rPr>
        <w:t>486, 675 S.E.2d</w:t>
      </w:r>
      <w:r w:rsidR="00B64C57">
        <w:rPr>
          <w:color w:val="231F20"/>
        </w:rPr>
        <w:t xml:space="preserve"> </w:t>
      </w:r>
      <w:r>
        <w:rPr>
          <w:color w:val="231F20"/>
        </w:rPr>
        <w:t>193.</w:t>
      </w:r>
    </w:p>
    <w:p w14:paraId="3727A16B" w14:textId="77777777" w:rsidR="009910CD" w:rsidRPr="00130C4A" w:rsidRDefault="00FC2690" w:rsidP="00185AFE">
      <w:pPr>
        <w:pStyle w:val="BodyText"/>
        <w:spacing w:before="120" w:after="120"/>
        <w:ind w:left="1440"/>
        <w:jc w:val="both"/>
        <w:rPr>
          <w:color w:val="231F20"/>
        </w:rPr>
      </w:pPr>
      <w:r>
        <w:rPr>
          <w:color w:val="231F20"/>
        </w:rPr>
        <w:t>In this medical malpractice/wrongful death action, plaintiff offered jury instruction stating that defendant is legally responsible for any additional injuries a tort victim suffers during treatment for the original injuries caused by that defendant. This instruction was not</w:t>
      </w:r>
      <w:r w:rsidR="00B64C57">
        <w:rPr>
          <w:color w:val="231F20"/>
        </w:rPr>
        <w:t xml:space="preserve"> </w:t>
      </w:r>
      <w:r>
        <w:rPr>
          <w:color w:val="231F20"/>
        </w:rPr>
        <w:t>a correct statement of the law and therefore was properly</w:t>
      </w:r>
      <w:r w:rsidR="00B64C57">
        <w:rPr>
          <w:color w:val="231F20"/>
        </w:rPr>
        <w:t xml:space="preserve"> </w:t>
      </w:r>
      <w:r>
        <w:rPr>
          <w:color w:val="231F20"/>
        </w:rPr>
        <w:t>rejected.</w:t>
      </w:r>
    </w:p>
    <w:p w14:paraId="066862F0" w14:textId="77777777" w:rsidR="009910CD" w:rsidRDefault="00FC2690" w:rsidP="009B4A63">
      <w:pPr>
        <w:spacing w:before="121"/>
        <w:ind w:left="720"/>
      </w:pPr>
      <w:r>
        <w:rPr>
          <w:color w:val="231F20"/>
        </w:rPr>
        <w:t>2009—</w:t>
      </w:r>
      <w:r>
        <w:rPr>
          <w:i/>
          <w:color w:val="231F20"/>
        </w:rPr>
        <w:t>Howell v.</w:t>
      </w:r>
      <w:r w:rsidR="00B64C57">
        <w:rPr>
          <w:i/>
          <w:color w:val="231F20"/>
        </w:rPr>
        <w:t xml:space="preserve"> </w:t>
      </w:r>
      <w:r>
        <w:rPr>
          <w:i/>
          <w:color w:val="231F20"/>
        </w:rPr>
        <w:t>Sobhan</w:t>
      </w:r>
      <w:r>
        <w:rPr>
          <w:color w:val="231F20"/>
        </w:rPr>
        <w:t>, 278 Va.</w:t>
      </w:r>
      <w:r w:rsidR="00B64C57">
        <w:rPr>
          <w:color w:val="231F20"/>
        </w:rPr>
        <w:t xml:space="preserve"> </w:t>
      </w:r>
      <w:r>
        <w:rPr>
          <w:color w:val="231F20"/>
        </w:rPr>
        <w:t>278, 682 S.E.2d</w:t>
      </w:r>
      <w:r w:rsidR="00B64C57">
        <w:rPr>
          <w:color w:val="231F20"/>
        </w:rPr>
        <w:t xml:space="preserve"> </w:t>
      </w:r>
      <w:r>
        <w:rPr>
          <w:color w:val="231F20"/>
        </w:rPr>
        <w:t>938.</w:t>
      </w:r>
    </w:p>
    <w:p w14:paraId="6DA8353A" w14:textId="2D853DB7" w:rsidR="001C6A65" w:rsidRDefault="00FC2690" w:rsidP="00185AFE">
      <w:pPr>
        <w:pStyle w:val="BodyText"/>
        <w:spacing w:before="120" w:after="120"/>
        <w:ind w:left="1440"/>
        <w:jc w:val="both"/>
        <w:rPr>
          <w:color w:val="231F20"/>
        </w:rPr>
      </w:pPr>
      <w:r>
        <w:rPr>
          <w:color w:val="231F20"/>
        </w:rPr>
        <w:t>In this medical malpractice action, plaintiff presented evidence that defendant removed too much of colo</w:t>
      </w:r>
      <w:r w:rsidR="00103F1A">
        <w:rPr>
          <w:color w:val="231F20"/>
        </w:rPr>
        <w:t>n essentially precluding plain</w:t>
      </w:r>
      <w:r>
        <w:rPr>
          <w:color w:val="231F20"/>
        </w:rPr>
        <w:t>tiff from ever returning to normal bowel function. Trial court improperly struck plaintiff’s case on issue of</w:t>
      </w:r>
      <w:r w:rsidR="00B64C57">
        <w:rPr>
          <w:color w:val="231F20"/>
        </w:rPr>
        <w:t xml:space="preserve"> </w:t>
      </w:r>
      <w:r>
        <w:rPr>
          <w:color w:val="231F20"/>
        </w:rPr>
        <w:t>causation.</w:t>
      </w:r>
    </w:p>
    <w:p w14:paraId="690EDA12" w14:textId="77777777" w:rsidR="009910CD" w:rsidRDefault="00FC2690" w:rsidP="00AF062B">
      <w:pPr>
        <w:pStyle w:val="Heading4"/>
        <w:numPr>
          <w:ilvl w:val="0"/>
          <w:numId w:val="53"/>
        </w:numPr>
        <w:tabs>
          <w:tab w:val="left" w:pos="1170"/>
        </w:tabs>
        <w:spacing w:before="64"/>
      </w:pPr>
      <w:r>
        <w:rPr>
          <w:color w:val="231F20"/>
        </w:rPr>
        <w:t>Intervening</w:t>
      </w:r>
      <w:r>
        <w:rPr>
          <w:color w:val="231F20"/>
          <w:spacing w:val="14"/>
        </w:rPr>
        <w:t xml:space="preserve"> </w:t>
      </w:r>
      <w:r>
        <w:rPr>
          <w:color w:val="231F20"/>
        </w:rPr>
        <w:t>Cause</w:t>
      </w:r>
    </w:p>
    <w:p w14:paraId="79D0C2DF" w14:textId="77777777" w:rsidR="00FA6C31" w:rsidRDefault="00FA6C31" w:rsidP="009B4A63">
      <w:pPr>
        <w:spacing w:before="136"/>
        <w:ind w:left="720"/>
        <w:rPr>
          <w:color w:val="231F20"/>
        </w:rPr>
      </w:pPr>
      <w:r>
        <w:rPr>
          <w:color w:val="231F20"/>
        </w:rPr>
        <w:t>2016—</w:t>
      </w:r>
      <w:r>
        <w:rPr>
          <w:i/>
          <w:color w:val="231F20"/>
        </w:rPr>
        <w:t>Dorman v. State Industries, Inc.</w:t>
      </w:r>
      <w:r>
        <w:rPr>
          <w:color w:val="231F20"/>
        </w:rPr>
        <w:t>, 292 Va. 111</w:t>
      </w:r>
      <w:r w:rsidR="00D47803">
        <w:rPr>
          <w:color w:val="231F20"/>
        </w:rPr>
        <w:t>, 787 S.E.2d 132</w:t>
      </w:r>
      <w:r>
        <w:rPr>
          <w:color w:val="231F20"/>
        </w:rPr>
        <w:t>.</w:t>
      </w:r>
    </w:p>
    <w:p w14:paraId="23BCB80F" w14:textId="7149D42B" w:rsidR="00A01B9B" w:rsidRPr="001C6A65" w:rsidRDefault="00FA6C31" w:rsidP="001C6A65">
      <w:pPr>
        <w:pStyle w:val="BodyText"/>
        <w:spacing w:before="120" w:after="120"/>
        <w:ind w:left="1440"/>
        <w:jc w:val="both"/>
        <w:rPr>
          <w:color w:val="231F20"/>
        </w:rPr>
      </w:pPr>
      <w:r>
        <w:rPr>
          <w:color w:val="231F20"/>
        </w:rPr>
        <w:t xml:space="preserve">Plaintiff raised issue of propriety of instruction on superseding cause.  Instruction failed to state who had burden of proof.  Plaintiff failed to present argument on that before the trial court and failed to </w:t>
      </w:r>
      <w:r w:rsidR="001B6F1E">
        <w:rPr>
          <w:color w:val="231F20"/>
        </w:rPr>
        <w:t>proffer a</w:t>
      </w:r>
      <w:r w:rsidR="00A16163">
        <w:rPr>
          <w:color w:val="231F20"/>
        </w:rPr>
        <w:t>lternative</w:t>
      </w:r>
      <w:r w:rsidR="001B6F1E">
        <w:rPr>
          <w:color w:val="231F20"/>
        </w:rPr>
        <w:t xml:space="preserve"> jury instruction.  In any event in this case the instruction was a proper statement of the law</w:t>
      </w:r>
      <w:r w:rsidR="000D14CC">
        <w:rPr>
          <w:color w:val="231F20"/>
        </w:rPr>
        <w:t xml:space="preserve">.  There was more than a scintilla of evidence to support it.  </w:t>
      </w:r>
    </w:p>
    <w:p w14:paraId="5F27759F" w14:textId="77777777" w:rsidR="009910CD" w:rsidRDefault="00FC2690" w:rsidP="009B4A63">
      <w:pPr>
        <w:spacing w:before="136"/>
        <w:ind w:left="720"/>
      </w:pPr>
      <w:r>
        <w:rPr>
          <w:color w:val="231F20"/>
        </w:rPr>
        <w:t>2009—</w:t>
      </w:r>
      <w:r>
        <w:rPr>
          <w:i/>
          <w:color w:val="231F20"/>
        </w:rPr>
        <w:t>Williams v.</w:t>
      </w:r>
      <w:r w:rsidR="00B64C57">
        <w:rPr>
          <w:i/>
          <w:color w:val="231F20"/>
        </w:rPr>
        <w:t xml:space="preserve"> </w:t>
      </w:r>
      <w:r>
        <w:rPr>
          <w:i/>
          <w:color w:val="231F20"/>
        </w:rPr>
        <w:t>Joynes</w:t>
      </w:r>
      <w:r>
        <w:rPr>
          <w:color w:val="231F20"/>
        </w:rPr>
        <w:t>, 278 Va.</w:t>
      </w:r>
      <w:r w:rsidR="00B64C57">
        <w:rPr>
          <w:color w:val="231F20"/>
        </w:rPr>
        <w:t xml:space="preserve"> </w:t>
      </w:r>
      <w:r>
        <w:rPr>
          <w:color w:val="231F20"/>
        </w:rPr>
        <w:t>57, 677 S.E.2d 261.</w:t>
      </w:r>
    </w:p>
    <w:p w14:paraId="07D84768" w14:textId="15CBB21F" w:rsidR="009910CD" w:rsidRDefault="00FC2690" w:rsidP="00185AFE">
      <w:pPr>
        <w:pStyle w:val="BodyText"/>
        <w:spacing w:before="120" w:after="120"/>
        <w:ind w:left="1440"/>
        <w:jc w:val="both"/>
        <w:rPr>
          <w:color w:val="231F20"/>
        </w:rPr>
      </w:pPr>
      <w:r>
        <w:rPr>
          <w:color w:val="231F20"/>
        </w:rPr>
        <w:t>In this legal malpractice action, defendant attorney contended that plaintiff’s failure to file suit in other jurisdiction where statute of limitations had not expired was superseding event that severed the link of proximate causation. Trial court improperly granted summary judgment on that issue. That issue should have been</w:t>
      </w:r>
      <w:r w:rsidRPr="00130C4A">
        <w:rPr>
          <w:color w:val="231F20"/>
        </w:rPr>
        <w:t xml:space="preserve"> </w:t>
      </w:r>
      <w:r>
        <w:rPr>
          <w:color w:val="231F20"/>
        </w:rPr>
        <w:t>submitted to the jury for</w:t>
      </w:r>
      <w:r w:rsidR="00B64C57">
        <w:rPr>
          <w:color w:val="231F20"/>
        </w:rPr>
        <w:t xml:space="preserve"> </w:t>
      </w:r>
      <w:r>
        <w:rPr>
          <w:color w:val="231F20"/>
        </w:rPr>
        <w:t>determination.</w:t>
      </w:r>
    </w:p>
    <w:p w14:paraId="55131A26" w14:textId="77777777" w:rsidR="001C0781" w:rsidRDefault="001C0781" w:rsidP="00185AFE">
      <w:pPr>
        <w:pStyle w:val="BodyText"/>
        <w:spacing w:before="120" w:after="120"/>
        <w:ind w:left="1440"/>
        <w:jc w:val="both"/>
        <w:rPr>
          <w:color w:val="231F20"/>
        </w:rPr>
      </w:pPr>
    </w:p>
    <w:p w14:paraId="7D56A744" w14:textId="77777777" w:rsidR="001C0781" w:rsidRDefault="001C0781" w:rsidP="00185AFE">
      <w:pPr>
        <w:pStyle w:val="BodyText"/>
        <w:spacing w:before="120" w:after="120"/>
        <w:ind w:left="1440"/>
        <w:jc w:val="both"/>
        <w:rPr>
          <w:color w:val="231F20"/>
        </w:rPr>
      </w:pPr>
    </w:p>
    <w:p w14:paraId="5BA92C23" w14:textId="77777777" w:rsidR="001C0781" w:rsidRDefault="001C0781" w:rsidP="00185AFE">
      <w:pPr>
        <w:pStyle w:val="BodyText"/>
        <w:spacing w:before="120" w:after="120"/>
        <w:ind w:left="1440"/>
        <w:jc w:val="both"/>
        <w:rPr>
          <w:color w:val="231F20"/>
        </w:rPr>
      </w:pPr>
    </w:p>
    <w:p w14:paraId="54AAE814" w14:textId="77777777" w:rsidR="001C0781" w:rsidRPr="00130C4A" w:rsidRDefault="001C0781" w:rsidP="00185AFE">
      <w:pPr>
        <w:pStyle w:val="BodyText"/>
        <w:spacing w:before="120" w:after="120"/>
        <w:ind w:left="1440"/>
        <w:jc w:val="both"/>
        <w:rPr>
          <w:color w:val="231F20"/>
        </w:rPr>
      </w:pPr>
    </w:p>
    <w:p w14:paraId="0F3810D0" w14:textId="77777777" w:rsidR="009910CD" w:rsidRDefault="00FC2690" w:rsidP="00AF062B">
      <w:pPr>
        <w:pStyle w:val="Heading4"/>
        <w:numPr>
          <w:ilvl w:val="0"/>
          <w:numId w:val="53"/>
        </w:numPr>
        <w:tabs>
          <w:tab w:val="left" w:pos="1170"/>
        </w:tabs>
        <w:ind w:left="2041" w:hanging="1321"/>
      </w:pPr>
      <w:r>
        <w:rPr>
          <w:color w:val="231F20"/>
        </w:rPr>
        <w:lastRenderedPageBreak/>
        <w:t>Miscellaneous</w:t>
      </w:r>
    </w:p>
    <w:p w14:paraId="40031EBD" w14:textId="4D2F32F9" w:rsidR="00824373" w:rsidRDefault="00824373" w:rsidP="009B4A63">
      <w:pPr>
        <w:spacing w:before="141" w:line="250" w:lineRule="exact"/>
        <w:ind w:left="720" w:right="821"/>
        <w:rPr>
          <w:color w:val="231F20"/>
        </w:rPr>
      </w:pPr>
      <w:r>
        <w:rPr>
          <w:color w:val="231F20"/>
        </w:rPr>
        <w:t>2020—</w:t>
      </w:r>
      <w:r>
        <w:rPr>
          <w:i/>
          <w:iCs/>
          <w:color w:val="231F20"/>
        </w:rPr>
        <w:t>Tahboub v. Thiagarajah</w:t>
      </w:r>
      <w:r>
        <w:rPr>
          <w:color w:val="231F20"/>
        </w:rPr>
        <w:t>, 298 Va. 366, 837 S.E.2d 752</w:t>
      </w:r>
    </w:p>
    <w:p w14:paraId="72DC670E" w14:textId="0B5B2525" w:rsidR="000E25FE" w:rsidRDefault="00824373" w:rsidP="001C0781">
      <w:pPr>
        <w:pStyle w:val="BodyText"/>
        <w:spacing w:before="120" w:after="120"/>
        <w:ind w:left="1440"/>
        <w:jc w:val="both"/>
        <w:rPr>
          <w:color w:val="231F20"/>
        </w:rPr>
      </w:pPr>
      <w:r>
        <w:rPr>
          <w:color w:val="231F20"/>
        </w:rPr>
        <w:t>In this medical malpractice action, the trial court struck the case at the conclusion of the plaintiff’s case based upon a failure of sufficient evidence as to the causation issue.  Supreme Court reversed, saying evidence was sufficient.  Even though plaintiff’s evidence on this issue may have been highly discredited, the court must accept it as true for purposes of a motion to strike.</w:t>
      </w:r>
    </w:p>
    <w:p w14:paraId="74E9BF98" w14:textId="4B7F6F44" w:rsidR="009910CD" w:rsidRDefault="00FC2690" w:rsidP="009B4A63">
      <w:pPr>
        <w:spacing w:before="141" w:line="250" w:lineRule="exact"/>
        <w:ind w:left="720" w:right="821"/>
      </w:pPr>
      <w:r>
        <w:rPr>
          <w:color w:val="231F20"/>
        </w:rPr>
        <w:t>2014—</w:t>
      </w:r>
      <w:r>
        <w:rPr>
          <w:i/>
          <w:color w:val="231F20"/>
        </w:rPr>
        <w:t>Harman v. Honeywell International, Inc.</w:t>
      </w:r>
      <w:r>
        <w:rPr>
          <w:color w:val="231F20"/>
        </w:rPr>
        <w:t>, 288 Va. 84, 758 S.E.2d 515.</w:t>
      </w:r>
    </w:p>
    <w:p w14:paraId="459F937A" w14:textId="19EDCBD4" w:rsidR="00A3660B" w:rsidRDefault="00FC2690" w:rsidP="00A01B9B">
      <w:pPr>
        <w:pStyle w:val="BodyText"/>
        <w:spacing w:before="120" w:after="120"/>
        <w:ind w:left="1440"/>
        <w:jc w:val="both"/>
        <w:rPr>
          <w:color w:val="231F20"/>
        </w:rPr>
      </w:pPr>
      <w:r>
        <w:rPr>
          <w:color w:val="231F20"/>
        </w:rPr>
        <w:t>In airport crash litigation, plaintiff pr</w:t>
      </w:r>
      <w:r w:rsidR="00103F1A">
        <w:rPr>
          <w:color w:val="231F20"/>
        </w:rPr>
        <w:t>oposed as part of jury instruc</w:t>
      </w:r>
      <w:r>
        <w:rPr>
          <w:color w:val="231F20"/>
        </w:rPr>
        <w:t>tion language stating, “there may be more than one proximate cause.” Proximate cause need not be established with such certainty so as to exclude every other possible conclusion. Such additional language should not have been</w:t>
      </w:r>
      <w:r w:rsidR="00B64C57">
        <w:rPr>
          <w:color w:val="231F20"/>
        </w:rPr>
        <w:t xml:space="preserve"> </w:t>
      </w:r>
      <w:r>
        <w:rPr>
          <w:color w:val="231F20"/>
        </w:rPr>
        <w:t>included.</w:t>
      </w:r>
    </w:p>
    <w:p w14:paraId="2499F9BA"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1.32</w:t>
      </w:r>
      <w:r>
        <w:rPr>
          <w:color w:val="231F20"/>
        </w:rPr>
        <w:tab/>
        <w:t>Rescue</w:t>
      </w:r>
      <w:r w:rsidRPr="00324C7E">
        <w:rPr>
          <w:color w:val="231F20"/>
        </w:rPr>
        <w:t xml:space="preserve"> </w:t>
      </w:r>
      <w:r>
        <w:rPr>
          <w:color w:val="231F20"/>
        </w:rPr>
        <w:t>Doctrine</w:t>
      </w:r>
    </w:p>
    <w:p w14:paraId="420E2A23" w14:textId="77777777" w:rsidR="009910CD" w:rsidRDefault="00FC2690" w:rsidP="009B4A63">
      <w:pPr>
        <w:spacing w:before="136"/>
        <w:ind w:left="720"/>
      </w:pPr>
      <w:r>
        <w:rPr>
          <w:color w:val="231F20"/>
        </w:rPr>
        <w:t>2010—</w:t>
      </w:r>
      <w:r>
        <w:rPr>
          <w:i/>
          <w:color w:val="231F20"/>
        </w:rPr>
        <w:t xml:space="preserve">Kimble </w:t>
      </w:r>
      <w:r>
        <w:rPr>
          <w:i/>
          <w:color w:val="231F20"/>
          <w:spacing w:val="-9"/>
        </w:rPr>
        <w:t>v.</w:t>
      </w:r>
      <w:r w:rsidR="00B64C57">
        <w:rPr>
          <w:i/>
          <w:color w:val="231F20"/>
          <w:spacing w:val="-9"/>
        </w:rPr>
        <w:t xml:space="preserve"> </w:t>
      </w:r>
      <w:r>
        <w:rPr>
          <w:i/>
          <w:color w:val="231F20"/>
        </w:rPr>
        <w:t>Carey</w:t>
      </w:r>
      <w:r>
        <w:rPr>
          <w:color w:val="231F20"/>
        </w:rPr>
        <w:t xml:space="preserve">, 279 </w:t>
      </w:r>
      <w:r>
        <w:rPr>
          <w:color w:val="231F20"/>
          <w:spacing w:val="-9"/>
        </w:rPr>
        <w:t>Va.</w:t>
      </w:r>
      <w:r w:rsidR="00B64C57">
        <w:rPr>
          <w:color w:val="231F20"/>
          <w:spacing w:val="-9"/>
        </w:rPr>
        <w:t xml:space="preserve"> </w:t>
      </w:r>
      <w:r>
        <w:rPr>
          <w:color w:val="231F20"/>
        </w:rPr>
        <w:t>652, 691 S.E.2d</w:t>
      </w:r>
      <w:r>
        <w:rPr>
          <w:color w:val="231F20"/>
          <w:spacing w:val="50"/>
        </w:rPr>
        <w:t xml:space="preserve"> </w:t>
      </w:r>
      <w:r>
        <w:rPr>
          <w:color w:val="231F20"/>
        </w:rPr>
        <w:t>790.</w:t>
      </w:r>
    </w:p>
    <w:p w14:paraId="34736B30" w14:textId="5516FEA8" w:rsidR="009910CD" w:rsidRDefault="00FC2690" w:rsidP="00185AFE">
      <w:pPr>
        <w:pStyle w:val="BodyText"/>
        <w:spacing w:before="120" w:after="120"/>
        <w:ind w:left="1440"/>
        <w:jc w:val="both"/>
        <w:rPr>
          <w:color w:val="231F20"/>
        </w:rPr>
      </w:pPr>
      <w:r>
        <w:rPr>
          <w:color w:val="231F20"/>
        </w:rPr>
        <w:t>Plaintiff attempted to rescue drive</w:t>
      </w:r>
      <w:r w:rsidR="00103F1A">
        <w:rPr>
          <w:color w:val="231F20"/>
        </w:rPr>
        <w:t>r slumped over wheel in automo</w:t>
      </w:r>
      <w:r>
        <w:rPr>
          <w:color w:val="231F20"/>
        </w:rPr>
        <w:t>bile</w:t>
      </w:r>
      <w:r w:rsidRPr="00130C4A">
        <w:rPr>
          <w:color w:val="231F20"/>
        </w:rPr>
        <w:t xml:space="preserve"> </w:t>
      </w:r>
      <w:r>
        <w:rPr>
          <w:color w:val="231F20"/>
        </w:rPr>
        <w:t>accident.</w:t>
      </w:r>
      <w:r w:rsidRPr="00130C4A">
        <w:rPr>
          <w:color w:val="231F20"/>
        </w:rPr>
        <w:t xml:space="preserve"> </w:t>
      </w:r>
      <w:r>
        <w:rPr>
          <w:color w:val="231F20"/>
        </w:rPr>
        <w:t>Whether</w:t>
      </w:r>
      <w:r w:rsidRPr="00130C4A">
        <w:rPr>
          <w:color w:val="231F20"/>
        </w:rPr>
        <w:t xml:space="preserve"> </w:t>
      </w:r>
      <w:r>
        <w:rPr>
          <w:color w:val="231F20"/>
        </w:rPr>
        <w:t>that</w:t>
      </w:r>
      <w:r w:rsidRPr="00130C4A">
        <w:rPr>
          <w:color w:val="231F20"/>
        </w:rPr>
        <w:t xml:space="preserve"> </w:t>
      </w:r>
      <w:r>
        <w:rPr>
          <w:color w:val="231F20"/>
        </w:rPr>
        <w:t>driver’s</w:t>
      </w:r>
      <w:r w:rsidRPr="00130C4A">
        <w:rPr>
          <w:color w:val="231F20"/>
        </w:rPr>
        <w:t xml:space="preserve"> </w:t>
      </w:r>
      <w:r>
        <w:rPr>
          <w:color w:val="231F20"/>
        </w:rPr>
        <w:t>conduct</w:t>
      </w:r>
      <w:r w:rsidRPr="00130C4A">
        <w:rPr>
          <w:color w:val="231F20"/>
        </w:rPr>
        <w:t xml:space="preserve"> </w:t>
      </w:r>
      <w:r>
        <w:rPr>
          <w:color w:val="231F20"/>
        </w:rPr>
        <w:t>that</w:t>
      </w:r>
      <w:r w:rsidRPr="00130C4A">
        <w:rPr>
          <w:color w:val="231F20"/>
        </w:rPr>
        <w:t xml:space="preserve"> </w:t>
      </w:r>
      <w:r>
        <w:rPr>
          <w:color w:val="231F20"/>
        </w:rPr>
        <w:t>put</w:t>
      </w:r>
      <w:r w:rsidRPr="00130C4A">
        <w:rPr>
          <w:color w:val="231F20"/>
        </w:rPr>
        <w:t xml:space="preserve"> </w:t>
      </w:r>
      <w:r>
        <w:rPr>
          <w:color w:val="231F20"/>
        </w:rPr>
        <w:t>plaintiff</w:t>
      </w:r>
      <w:r w:rsidRPr="00130C4A">
        <w:rPr>
          <w:color w:val="231F20"/>
        </w:rPr>
        <w:t xml:space="preserve"> </w:t>
      </w:r>
      <w:r>
        <w:rPr>
          <w:color w:val="231F20"/>
        </w:rPr>
        <w:t>in</w:t>
      </w:r>
      <w:r w:rsidRPr="00130C4A">
        <w:rPr>
          <w:color w:val="231F20"/>
        </w:rPr>
        <w:t xml:space="preserve"> </w:t>
      </w:r>
      <w:r>
        <w:rPr>
          <w:color w:val="231F20"/>
        </w:rPr>
        <w:t>peril was willful and wanton was irrelevant to the rescue doctrine. In this case, however, it was error for the Court to rule as a matter of law that the plaintiff was contributorily negligent since under the rescue doctrine the issue should have been submitted to the</w:t>
      </w:r>
      <w:r w:rsidR="00B64C57">
        <w:rPr>
          <w:color w:val="231F20"/>
        </w:rPr>
        <w:t xml:space="preserve"> </w:t>
      </w:r>
      <w:r w:rsidRPr="00130C4A">
        <w:rPr>
          <w:color w:val="231F20"/>
        </w:rPr>
        <w:t>jury.</w:t>
      </w:r>
    </w:p>
    <w:p w14:paraId="4D68CE33" w14:textId="5DC31913" w:rsidR="00120524" w:rsidRPr="00324C7E" w:rsidRDefault="00120524" w:rsidP="00120524">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1.37</w:t>
      </w:r>
      <w:r>
        <w:rPr>
          <w:color w:val="231F20"/>
        </w:rPr>
        <w:tab/>
        <w:t>Subrogation</w:t>
      </w:r>
    </w:p>
    <w:p w14:paraId="48BB5065" w14:textId="2EAD9787" w:rsidR="00120524" w:rsidRDefault="00120524" w:rsidP="00120524">
      <w:pPr>
        <w:spacing w:before="136"/>
        <w:ind w:left="720"/>
      </w:pPr>
      <w:r>
        <w:rPr>
          <w:color w:val="231F20"/>
        </w:rPr>
        <w:t>2020—</w:t>
      </w:r>
      <w:r>
        <w:rPr>
          <w:i/>
          <w:color w:val="231F20"/>
        </w:rPr>
        <w:t>Erie Insurance v. Alba</w:t>
      </w:r>
      <w:r>
        <w:rPr>
          <w:color w:val="231F20"/>
        </w:rPr>
        <w:t xml:space="preserve">, 298 </w:t>
      </w:r>
      <w:r>
        <w:rPr>
          <w:color w:val="231F20"/>
          <w:spacing w:val="-9"/>
        </w:rPr>
        <w:t xml:space="preserve">Va. </w:t>
      </w:r>
      <w:r>
        <w:rPr>
          <w:color w:val="231F20"/>
        </w:rPr>
        <w:t>673, 842 S.E.2d</w:t>
      </w:r>
      <w:r>
        <w:rPr>
          <w:color w:val="231F20"/>
          <w:spacing w:val="50"/>
        </w:rPr>
        <w:t xml:space="preserve"> </w:t>
      </w:r>
      <w:r>
        <w:rPr>
          <w:color w:val="231F20"/>
        </w:rPr>
        <w:t>195.</w:t>
      </w:r>
    </w:p>
    <w:p w14:paraId="550812AC" w14:textId="58013A46" w:rsidR="00120524" w:rsidRDefault="00120524" w:rsidP="00120524">
      <w:pPr>
        <w:pStyle w:val="BodyText"/>
        <w:spacing w:before="120" w:after="120"/>
        <w:ind w:left="1440"/>
        <w:jc w:val="both"/>
        <w:rPr>
          <w:color w:val="231F20"/>
        </w:rPr>
      </w:pPr>
      <w:r>
        <w:rPr>
          <w:color w:val="231F20"/>
        </w:rPr>
        <w:t xml:space="preserve">Condo association’s insurer sought to subrogate against tenant who allegedly caused fire.  Tenant is not an implied insured of the association and therefore subrogation is allowed. </w:t>
      </w:r>
    </w:p>
    <w:p w14:paraId="4AE3EE8C"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1.39</w:t>
      </w:r>
      <w:r>
        <w:rPr>
          <w:color w:val="231F20"/>
        </w:rPr>
        <w:tab/>
        <w:t>Willful and Wanton</w:t>
      </w:r>
      <w:r w:rsidRPr="00324C7E">
        <w:rPr>
          <w:color w:val="231F20"/>
        </w:rPr>
        <w:t xml:space="preserve"> </w:t>
      </w:r>
      <w:r>
        <w:rPr>
          <w:color w:val="231F20"/>
        </w:rPr>
        <w:t>Misconduct</w:t>
      </w:r>
    </w:p>
    <w:p w14:paraId="25435018" w14:textId="77777777" w:rsidR="009910CD" w:rsidRDefault="00FC2690" w:rsidP="009B4A63">
      <w:pPr>
        <w:spacing w:before="126"/>
        <w:ind w:left="720"/>
      </w:pPr>
      <w:r>
        <w:rPr>
          <w:color w:val="231F20"/>
        </w:rPr>
        <w:t>2011—</w:t>
      </w:r>
      <w:r>
        <w:rPr>
          <w:i/>
          <w:color w:val="231F20"/>
        </w:rPr>
        <w:t>Volpe v.</w:t>
      </w:r>
      <w:r w:rsidR="00B64C57">
        <w:rPr>
          <w:i/>
          <w:color w:val="231F20"/>
        </w:rPr>
        <w:t xml:space="preserve"> </w:t>
      </w:r>
      <w:r>
        <w:rPr>
          <w:i/>
          <w:color w:val="231F20"/>
        </w:rPr>
        <w:t>City of Lexington</w:t>
      </w:r>
      <w:r>
        <w:rPr>
          <w:color w:val="231F20"/>
        </w:rPr>
        <w:t>, 281 Va.</w:t>
      </w:r>
      <w:r w:rsidR="00B64C57">
        <w:rPr>
          <w:color w:val="231F20"/>
        </w:rPr>
        <w:t xml:space="preserve"> </w:t>
      </w:r>
      <w:r>
        <w:rPr>
          <w:color w:val="231F20"/>
        </w:rPr>
        <w:t>630, 708 S.E.2d</w:t>
      </w:r>
      <w:r w:rsidR="00B64C57">
        <w:rPr>
          <w:color w:val="231F20"/>
        </w:rPr>
        <w:t xml:space="preserve"> </w:t>
      </w:r>
      <w:r>
        <w:rPr>
          <w:color w:val="231F20"/>
        </w:rPr>
        <w:t>824.</w:t>
      </w:r>
    </w:p>
    <w:p w14:paraId="22647D64" w14:textId="77777777" w:rsidR="009910CD" w:rsidRPr="00130C4A" w:rsidRDefault="00FC2690" w:rsidP="00185AFE">
      <w:pPr>
        <w:pStyle w:val="BodyText"/>
        <w:spacing w:before="120" w:after="120"/>
        <w:ind w:left="1440"/>
        <w:jc w:val="both"/>
        <w:rPr>
          <w:color w:val="231F20"/>
        </w:rPr>
      </w:pPr>
      <w:r>
        <w:rPr>
          <w:color w:val="231F20"/>
        </w:rPr>
        <w:t>Child drowned in river that was designated as a city par</w:t>
      </w:r>
      <w:r w:rsidR="00AE3B68">
        <w:rPr>
          <w:color w:val="231F20"/>
        </w:rPr>
        <w:t>k designed for swimming. Trial c</w:t>
      </w:r>
      <w:r>
        <w:rPr>
          <w:color w:val="231F20"/>
        </w:rPr>
        <w:t>ourt incorrectly held that dangerous current was open and obvious condition. Al</w:t>
      </w:r>
      <w:r w:rsidR="00103F1A">
        <w:rPr>
          <w:color w:val="231F20"/>
        </w:rPr>
        <w:t>though the potential dangerous</w:t>
      </w:r>
      <w:r>
        <w:rPr>
          <w:color w:val="231F20"/>
        </w:rPr>
        <w:t>ness of the water itself may have been open and obvious, what was not open and obvious was the dangerous current which created a hydraulic</w:t>
      </w:r>
      <w:r w:rsidRPr="00130C4A">
        <w:rPr>
          <w:color w:val="231F20"/>
        </w:rPr>
        <w:t xml:space="preserve"> </w:t>
      </w:r>
      <w:r>
        <w:rPr>
          <w:color w:val="231F20"/>
        </w:rPr>
        <w:t>beneath</w:t>
      </w:r>
      <w:r w:rsidRPr="00130C4A">
        <w:rPr>
          <w:color w:val="231F20"/>
        </w:rPr>
        <w:t xml:space="preserve"> </w:t>
      </w:r>
      <w:r>
        <w:rPr>
          <w:color w:val="231F20"/>
        </w:rPr>
        <w:t>the</w:t>
      </w:r>
      <w:r w:rsidRPr="00130C4A">
        <w:rPr>
          <w:color w:val="231F20"/>
        </w:rPr>
        <w:t xml:space="preserve"> </w:t>
      </w:r>
      <w:r>
        <w:rPr>
          <w:color w:val="231F20"/>
        </w:rPr>
        <w:t>water</w:t>
      </w:r>
      <w:r w:rsidRPr="00130C4A">
        <w:rPr>
          <w:color w:val="231F20"/>
        </w:rPr>
        <w:t xml:space="preserve"> </w:t>
      </w:r>
      <w:r>
        <w:rPr>
          <w:color w:val="231F20"/>
        </w:rPr>
        <w:t>surface.</w:t>
      </w:r>
      <w:r w:rsidRPr="00130C4A">
        <w:rPr>
          <w:color w:val="231F20"/>
        </w:rPr>
        <w:t xml:space="preserve"> </w:t>
      </w:r>
      <w:r>
        <w:rPr>
          <w:color w:val="231F20"/>
        </w:rPr>
        <w:t>Jury</w:t>
      </w:r>
      <w:r w:rsidRPr="00130C4A">
        <w:rPr>
          <w:color w:val="231F20"/>
        </w:rPr>
        <w:t xml:space="preserve"> </w:t>
      </w:r>
      <w:r>
        <w:rPr>
          <w:color w:val="231F20"/>
        </w:rPr>
        <w:t>issue</w:t>
      </w:r>
      <w:r w:rsidRPr="00130C4A">
        <w:rPr>
          <w:color w:val="231F20"/>
        </w:rPr>
        <w:t xml:space="preserve"> </w:t>
      </w:r>
      <w:r>
        <w:rPr>
          <w:color w:val="231F20"/>
        </w:rPr>
        <w:t>likewise</w:t>
      </w:r>
      <w:r w:rsidRPr="00130C4A">
        <w:rPr>
          <w:color w:val="231F20"/>
        </w:rPr>
        <w:t xml:space="preserve"> </w:t>
      </w:r>
      <w:r>
        <w:rPr>
          <w:color w:val="231F20"/>
        </w:rPr>
        <w:t>created</w:t>
      </w:r>
      <w:r w:rsidRPr="00130C4A">
        <w:rPr>
          <w:color w:val="231F20"/>
        </w:rPr>
        <w:t xml:space="preserve"> </w:t>
      </w:r>
      <w:r>
        <w:rPr>
          <w:color w:val="231F20"/>
        </w:rPr>
        <w:t>as</w:t>
      </w:r>
      <w:r w:rsidRPr="00130C4A">
        <w:rPr>
          <w:color w:val="231F20"/>
        </w:rPr>
        <w:t xml:space="preserve"> </w:t>
      </w:r>
      <w:r>
        <w:rPr>
          <w:color w:val="231F20"/>
        </w:rPr>
        <w:t>to whether or not this condition constituted a form of recklessness or total disregard of precautions amounting to gross negligence on the part</w:t>
      </w:r>
      <w:r w:rsidRPr="00130C4A">
        <w:rPr>
          <w:color w:val="231F20"/>
        </w:rPr>
        <w:t xml:space="preserve"> </w:t>
      </w:r>
      <w:r>
        <w:rPr>
          <w:color w:val="231F20"/>
        </w:rPr>
        <w:t>of</w:t>
      </w:r>
      <w:r w:rsidRPr="00130C4A">
        <w:rPr>
          <w:color w:val="231F20"/>
        </w:rPr>
        <w:t xml:space="preserve"> </w:t>
      </w:r>
      <w:r>
        <w:rPr>
          <w:color w:val="231F20"/>
        </w:rPr>
        <w:t>the</w:t>
      </w:r>
      <w:r w:rsidRPr="00130C4A">
        <w:rPr>
          <w:color w:val="231F20"/>
        </w:rPr>
        <w:t xml:space="preserve"> City. </w:t>
      </w:r>
      <w:r>
        <w:rPr>
          <w:color w:val="231F20"/>
        </w:rPr>
        <w:t>As</w:t>
      </w:r>
      <w:r w:rsidRPr="00130C4A">
        <w:rPr>
          <w:color w:val="231F20"/>
        </w:rPr>
        <w:t xml:space="preserve"> </w:t>
      </w:r>
      <w:r>
        <w:rPr>
          <w:color w:val="231F20"/>
        </w:rPr>
        <w:t>a</w:t>
      </w:r>
      <w:r w:rsidRPr="00130C4A">
        <w:rPr>
          <w:color w:val="231F20"/>
        </w:rPr>
        <w:t xml:space="preserve"> </w:t>
      </w:r>
      <w:r>
        <w:rPr>
          <w:color w:val="231F20"/>
        </w:rPr>
        <w:t>matter</w:t>
      </w:r>
      <w:r w:rsidRPr="00130C4A">
        <w:rPr>
          <w:color w:val="231F20"/>
        </w:rPr>
        <w:t xml:space="preserve"> </w:t>
      </w:r>
      <w:r>
        <w:rPr>
          <w:color w:val="231F20"/>
        </w:rPr>
        <w:t>of</w:t>
      </w:r>
      <w:r w:rsidRPr="00130C4A">
        <w:rPr>
          <w:color w:val="231F20"/>
        </w:rPr>
        <w:t xml:space="preserve"> law, </w:t>
      </w:r>
      <w:r>
        <w:rPr>
          <w:color w:val="231F20"/>
        </w:rPr>
        <w:t>however,</w:t>
      </w:r>
      <w:r w:rsidRPr="00130C4A">
        <w:rPr>
          <w:color w:val="231F20"/>
        </w:rPr>
        <w:t xml:space="preserve"> </w:t>
      </w:r>
      <w:r>
        <w:rPr>
          <w:color w:val="231F20"/>
        </w:rPr>
        <w:t>this</w:t>
      </w:r>
      <w:r w:rsidRPr="00130C4A">
        <w:rPr>
          <w:color w:val="231F20"/>
        </w:rPr>
        <w:t xml:space="preserve"> </w:t>
      </w:r>
      <w:r>
        <w:rPr>
          <w:color w:val="231F20"/>
        </w:rPr>
        <w:t>conduct</w:t>
      </w:r>
      <w:r w:rsidRPr="00130C4A">
        <w:rPr>
          <w:color w:val="231F20"/>
        </w:rPr>
        <w:t xml:space="preserve"> </w:t>
      </w:r>
      <w:r>
        <w:rPr>
          <w:color w:val="231F20"/>
        </w:rPr>
        <w:t>on</w:t>
      </w:r>
      <w:r w:rsidRPr="00130C4A">
        <w:rPr>
          <w:color w:val="231F20"/>
        </w:rPr>
        <w:t xml:space="preserve"> </w:t>
      </w:r>
      <w:r>
        <w:rPr>
          <w:color w:val="231F20"/>
        </w:rPr>
        <w:t>the</w:t>
      </w:r>
      <w:r w:rsidRPr="00130C4A">
        <w:rPr>
          <w:color w:val="231F20"/>
        </w:rPr>
        <w:t xml:space="preserve"> </w:t>
      </w:r>
      <w:r>
        <w:rPr>
          <w:color w:val="231F20"/>
        </w:rPr>
        <w:t>part of</w:t>
      </w:r>
      <w:r w:rsidRPr="00130C4A">
        <w:rPr>
          <w:color w:val="231F20"/>
        </w:rPr>
        <w:t xml:space="preserve"> </w:t>
      </w:r>
      <w:r>
        <w:rPr>
          <w:color w:val="231F20"/>
        </w:rPr>
        <w:t>the</w:t>
      </w:r>
      <w:r w:rsidRPr="00130C4A">
        <w:rPr>
          <w:color w:val="231F20"/>
        </w:rPr>
        <w:t xml:space="preserve"> </w:t>
      </w:r>
      <w:r>
        <w:rPr>
          <w:color w:val="231F20"/>
        </w:rPr>
        <w:t>City</w:t>
      </w:r>
      <w:r w:rsidRPr="00130C4A">
        <w:rPr>
          <w:color w:val="231F20"/>
        </w:rPr>
        <w:t xml:space="preserve"> </w:t>
      </w:r>
      <w:r>
        <w:rPr>
          <w:color w:val="231F20"/>
        </w:rPr>
        <w:t>did</w:t>
      </w:r>
      <w:r w:rsidRPr="00130C4A">
        <w:rPr>
          <w:color w:val="231F20"/>
        </w:rPr>
        <w:t xml:space="preserve"> </w:t>
      </w:r>
      <w:r>
        <w:rPr>
          <w:color w:val="231F20"/>
        </w:rPr>
        <w:t>not</w:t>
      </w:r>
      <w:r w:rsidRPr="00130C4A">
        <w:rPr>
          <w:color w:val="231F20"/>
        </w:rPr>
        <w:t xml:space="preserve"> </w:t>
      </w:r>
      <w:r>
        <w:rPr>
          <w:color w:val="231F20"/>
        </w:rPr>
        <w:t>rise</w:t>
      </w:r>
      <w:r w:rsidRPr="00130C4A">
        <w:rPr>
          <w:color w:val="231F20"/>
        </w:rPr>
        <w:t xml:space="preserve"> </w:t>
      </w:r>
      <w:r>
        <w:rPr>
          <w:color w:val="231F20"/>
        </w:rPr>
        <w:t>to</w:t>
      </w:r>
      <w:r w:rsidRPr="00130C4A">
        <w:rPr>
          <w:color w:val="231F20"/>
        </w:rPr>
        <w:t xml:space="preserve"> </w:t>
      </w:r>
      <w:r>
        <w:rPr>
          <w:color w:val="231F20"/>
        </w:rPr>
        <w:t>the</w:t>
      </w:r>
      <w:r w:rsidRPr="00130C4A">
        <w:rPr>
          <w:color w:val="231F20"/>
        </w:rPr>
        <w:t xml:space="preserve"> </w:t>
      </w:r>
      <w:r>
        <w:rPr>
          <w:color w:val="231F20"/>
        </w:rPr>
        <w:t>level</w:t>
      </w:r>
      <w:r w:rsidRPr="00130C4A">
        <w:rPr>
          <w:color w:val="231F20"/>
        </w:rPr>
        <w:t xml:space="preserve"> </w:t>
      </w:r>
      <w:r>
        <w:rPr>
          <w:color w:val="231F20"/>
        </w:rPr>
        <w:t>of</w:t>
      </w:r>
      <w:r w:rsidRPr="00130C4A">
        <w:rPr>
          <w:color w:val="231F20"/>
        </w:rPr>
        <w:t xml:space="preserve"> </w:t>
      </w:r>
      <w:r>
        <w:rPr>
          <w:color w:val="231F20"/>
        </w:rPr>
        <w:t>willful</w:t>
      </w:r>
      <w:r w:rsidRPr="00130C4A">
        <w:rPr>
          <w:color w:val="231F20"/>
        </w:rPr>
        <w:t xml:space="preserve"> </w:t>
      </w:r>
      <w:r>
        <w:rPr>
          <w:color w:val="231F20"/>
        </w:rPr>
        <w:t>and</w:t>
      </w:r>
      <w:r w:rsidRPr="00130C4A">
        <w:rPr>
          <w:color w:val="231F20"/>
        </w:rPr>
        <w:t xml:space="preserve"> </w:t>
      </w:r>
      <w:r>
        <w:rPr>
          <w:color w:val="231F20"/>
        </w:rPr>
        <w:t>wanton</w:t>
      </w:r>
      <w:r w:rsidRPr="00130C4A">
        <w:rPr>
          <w:color w:val="231F20"/>
        </w:rPr>
        <w:t xml:space="preserve"> </w:t>
      </w:r>
      <w:r>
        <w:rPr>
          <w:color w:val="231F20"/>
        </w:rPr>
        <w:t>negligence.</w:t>
      </w:r>
    </w:p>
    <w:p w14:paraId="042B228C" w14:textId="77777777" w:rsidR="009910CD" w:rsidRDefault="00FC2690" w:rsidP="00451169">
      <w:pPr>
        <w:spacing w:before="132" w:line="240" w:lineRule="exact"/>
        <w:ind w:left="720" w:right="821"/>
      </w:pPr>
      <w:r>
        <w:rPr>
          <w:color w:val="231F20"/>
        </w:rPr>
        <w:t>2011—</w:t>
      </w:r>
      <w:r>
        <w:rPr>
          <w:i/>
          <w:color w:val="231F20"/>
        </w:rPr>
        <w:t>Kaltman v. All American Pest Control</w:t>
      </w:r>
      <w:r>
        <w:rPr>
          <w:color w:val="231F20"/>
        </w:rPr>
        <w:t>, 281 Va. 483, 706 S.E.2d 864.</w:t>
      </w:r>
    </w:p>
    <w:p w14:paraId="05D917B3" w14:textId="77777777" w:rsidR="009910CD" w:rsidRPr="00130C4A" w:rsidRDefault="00FC2690" w:rsidP="00185AFE">
      <w:pPr>
        <w:pStyle w:val="BodyText"/>
        <w:spacing w:before="120" w:after="120"/>
        <w:ind w:left="1440"/>
        <w:jc w:val="both"/>
        <w:rPr>
          <w:color w:val="231F20"/>
        </w:rPr>
      </w:pPr>
      <w:r>
        <w:rPr>
          <w:color w:val="231F20"/>
        </w:rPr>
        <w:t>Plaintiff alleged that pest control employee failed to thoroughly clean</w:t>
      </w:r>
      <w:r w:rsidR="00B64C57">
        <w:rPr>
          <w:color w:val="231F20"/>
        </w:rPr>
        <w:t xml:space="preserve"> </w:t>
      </w:r>
      <w:r>
        <w:rPr>
          <w:color w:val="231F20"/>
        </w:rPr>
        <w:t>equipment</w:t>
      </w:r>
      <w:r w:rsidR="00B64C57">
        <w:rPr>
          <w:color w:val="231F20"/>
        </w:rPr>
        <w:t xml:space="preserve"> </w:t>
      </w:r>
      <w:r>
        <w:rPr>
          <w:color w:val="231F20"/>
        </w:rPr>
        <w:t>before</w:t>
      </w:r>
      <w:r w:rsidR="00B64C57">
        <w:rPr>
          <w:color w:val="231F20"/>
        </w:rPr>
        <w:t xml:space="preserve"> </w:t>
      </w:r>
      <w:r>
        <w:rPr>
          <w:color w:val="231F20"/>
        </w:rPr>
        <w:t>applying</w:t>
      </w:r>
      <w:r w:rsidR="00B64C57">
        <w:rPr>
          <w:color w:val="231F20"/>
        </w:rPr>
        <w:t xml:space="preserve"> </w:t>
      </w:r>
      <w:r>
        <w:rPr>
          <w:color w:val="231F20"/>
        </w:rPr>
        <w:t>the</w:t>
      </w:r>
      <w:r w:rsidR="00B64C57">
        <w:rPr>
          <w:color w:val="231F20"/>
        </w:rPr>
        <w:t xml:space="preserve"> </w:t>
      </w:r>
      <w:r>
        <w:rPr>
          <w:color w:val="231F20"/>
        </w:rPr>
        <w:t>pesticide</w:t>
      </w:r>
      <w:r w:rsidR="00B64C57">
        <w:rPr>
          <w:color w:val="231F20"/>
        </w:rPr>
        <w:t xml:space="preserve"> </w:t>
      </w:r>
      <w:r>
        <w:rPr>
          <w:color w:val="231F20"/>
        </w:rPr>
        <w:t>to</w:t>
      </w:r>
      <w:r w:rsidR="00B64C57">
        <w:rPr>
          <w:color w:val="231F20"/>
        </w:rPr>
        <w:t xml:space="preserve"> </w:t>
      </w:r>
      <w:r>
        <w:rPr>
          <w:color w:val="231F20"/>
        </w:rPr>
        <w:t>the</w:t>
      </w:r>
      <w:r w:rsidR="00B64C57">
        <w:rPr>
          <w:color w:val="231F20"/>
        </w:rPr>
        <w:t xml:space="preserve"> </w:t>
      </w:r>
      <w:r>
        <w:rPr>
          <w:color w:val="231F20"/>
        </w:rPr>
        <w:t>home</w:t>
      </w:r>
      <w:r w:rsidR="00B64C57">
        <w:rPr>
          <w:color w:val="231F20"/>
        </w:rPr>
        <w:t xml:space="preserve"> </w:t>
      </w:r>
      <w:r>
        <w:rPr>
          <w:color w:val="231F20"/>
        </w:rPr>
        <w:t>in</w:t>
      </w:r>
      <w:r w:rsidR="00C14C12" w:rsidRPr="00130C4A">
        <w:rPr>
          <w:color w:val="231F20"/>
        </w:rPr>
        <w:t xml:space="preserve"> </w:t>
      </w:r>
      <w:r>
        <w:rPr>
          <w:color w:val="231F20"/>
        </w:rPr>
        <w:t>question. These facts do not justify a claim of willful and wanton misconduct.</w:t>
      </w:r>
    </w:p>
    <w:p w14:paraId="746EE266" w14:textId="77777777" w:rsidR="00D4105A" w:rsidRDefault="00D4105A">
      <w:pPr>
        <w:rPr>
          <w:b/>
          <w:color w:val="231F20"/>
          <w:sz w:val="40"/>
        </w:rPr>
      </w:pPr>
      <w:r>
        <w:rPr>
          <w:b/>
          <w:color w:val="231F20"/>
          <w:sz w:val="40"/>
        </w:rPr>
        <w:br w:type="page"/>
      </w:r>
    </w:p>
    <w:p w14:paraId="5CF061FB" w14:textId="77777777" w:rsidR="00E32700" w:rsidRDefault="00F04502" w:rsidP="00E32700">
      <w:pPr>
        <w:spacing w:before="35" w:line="328" w:lineRule="auto"/>
        <w:ind w:left="554" w:right="1246" w:firstLine="159"/>
        <w:jc w:val="center"/>
        <w:rPr>
          <w:b/>
          <w:color w:val="231F20"/>
          <w:sz w:val="40"/>
        </w:rPr>
      </w:pPr>
      <w:r>
        <w:rPr>
          <w:b/>
          <w:color w:val="231F20"/>
          <w:sz w:val="40"/>
        </w:rPr>
        <w:lastRenderedPageBreak/>
        <w:t>Chapter 2</w:t>
      </w:r>
    </w:p>
    <w:p w14:paraId="0CEBCF00" w14:textId="77777777" w:rsidR="00F04502" w:rsidRDefault="00F04502" w:rsidP="00E32700">
      <w:pPr>
        <w:spacing w:before="35" w:line="328" w:lineRule="auto"/>
        <w:ind w:left="554" w:right="1246" w:firstLine="159"/>
        <w:jc w:val="center"/>
        <w:rPr>
          <w:b/>
          <w:sz w:val="40"/>
        </w:rPr>
      </w:pPr>
      <w:r>
        <w:rPr>
          <w:b/>
          <w:color w:val="231F20"/>
          <w:w w:val="95"/>
          <w:sz w:val="40"/>
        </w:rPr>
        <w:t>DEFENSES</w:t>
      </w:r>
    </w:p>
    <w:p w14:paraId="4D70ED4B" w14:textId="77777777" w:rsidR="009910CD" w:rsidRDefault="009910CD">
      <w:pPr>
        <w:pStyle w:val="BodyText"/>
      </w:pPr>
    </w:p>
    <w:p w14:paraId="3E094A40" w14:textId="06780896" w:rsidR="00103700" w:rsidRPr="00324C7E" w:rsidRDefault="00103700" w:rsidP="00103700">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2.04</w:t>
      </w:r>
      <w:r>
        <w:rPr>
          <w:color w:val="231F20"/>
        </w:rPr>
        <w:tab/>
      </w:r>
      <w:r w:rsidR="001C0781">
        <w:rPr>
          <w:color w:val="231F20"/>
        </w:rPr>
        <w:t>Contributory Negligence</w:t>
      </w:r>
    </w:p>
    <w:p w14:paraId="05724CB9" w14:textId="3EBFCA3A" w:rsidR="00103700" w:rsidRDefault="00103700" w:rsidP="00103700">
      <w:pPr>
        <w:tabs>
          <w:tab w:val="left" w:pos="1170"/>
        </w:tabs>
        <w:spacing w:before="95"/>
        <w:ind w:left="720"/>
        <w:rPr>
          <w:b/>
        </w:rPr>
      </w:pPr>
      <w:r>
        <w:rPr>
          <w:b/>
          <w:color w:val="231F20"/>
        </w:rPr>
        <w:t>[1]</w:t>
      </w:r>
      <w:r>
        <w:rPr>
          <w:b/>
          <w:color w:val="231F20"/>
        </w:rPr>
        <w:tab/>
      </w:r>
      <w:r w:rsidR="00CD11F5">
        <w:rPr>
          <w:b/>
          <w:color w:val="231F20"/>
          <w:w w:val="95"/>
        </w:rPr>
        <w:t>Affirmative Defense</w:t>
      </w:r>
    </w:p>
    <w:p w14:paraId="3EC066FA" w14:textId="77777777" w:rsidR="00CD11F5" w:rsidRDefault="00CD11F5" w:rsidP="00CD11F5">
      <w:pPr>
        <w:spacing w:before="126"/>
        <w:ind w:left="720"/>
      </w:pPr>
      <w:r>
        <w:rPr>
          <w:color w:val="231F20"/>
        </w:rPr>
        <w:t>2024—</w:t>
      </w:r>
      <w:r>
        <w:rPr>
          <w:i/>
          <w:color w:val="231F20"/>
        </w:rPr>
        <w:t>Rodrigue v. Butts-Franklin</w:t>
      </w:r>
      <w:r>
        <w:rPr>
          <w:color w:val="231F20"/>
        </w:rPr>
        <w:t>, 79 Va. App. 645, 896 S.E.2d 810.</w:t>
      </w:r>
    </w:p>
    <w:p w14:paraId="763B6540" w14:textId="4E21E398" w:rsidR="00CD11F5" w:rsidRDefault="00CD11F5" w:rsidP="00CD11F5">
      <w:pPr>
        <w:pStyle w:val="BodyText"/>
        <w:spacing w:before="120" w:after="120"/>
        <w:ind w:left="1440"/>
        <w:jc w:val="both"/>
        <w:rPr>
          <w:color w:val="231F20"/>
        </w:rPr>
      </w:pPr>
      <w:r>
        <w:rPr>
          <w:color w:val="231F20"/>
        </w:rPr>
        <w:t xml:space="preserve">Contributory negligence must be expressly </w:t>
      </w:r>
      <w:proofErr w:type="gramStart"/>
      <w:r>
        <w:rPr>
          <w:color w:val="231F20"/>
        </w:rPr>
        <w:t>pled</w:t>
      </w:r>
      <w:proofErr w:type="gramEnd"/>
      <w:r>
        <w:rPr>
          <w:color w:val="231F20"/>
        </w:rPr>
        <w:t xml:space="preserve"> unless it appears from the plaintiff’s own evidence. Simply reserving the right to rely upon it is not sufficient. </w:t>
      </w:r>
    </w:p>
    <w:p w14:paraId="6DCAC8A8" w14:textId="60AA9921" w:rsidR="00CD11F5" w:rsidRPr="00324C7E" w:rsidRDefault="00CD11F5" w:rsidP="00CD11F5">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2.05</w:t>
      </w:r>
      <w:r>
        <w:rPr>
          <w:color w:val="231F20"/>
        </w:rPr>
        <w:tab/>
        <w:t>Immoral or Unlawful Act</w:t>
      </w:r>
    </w:p>
    <w:p w14:paraId="400C03F6" w14:textId="5E344BDD" w:rsidR="00CD11F5" w:rsidRDefault="00CD11F5" w:rsidP="00CD11F5">
      <w:pPr>
        <w:spacing w:before="126"/>
        <w:ind w:left="720"/>
      </w:pPr>
      <w:r>
        <w:rPr>
          <w:color w:val="231F20"/>
        </w:rPr>
        <w:t>2024—</w:t>
      </w:r>
      <w:r>
        <w:rPr>
          <w:i/>
          <w:color w:val="231F20"/>
        </w:rPr>
        <w:t>Howard v. Harris</w:t>
      </w:r>
      <w:r>
        <w:rPr>
          <w:color w:val="231F20"/>
        </w:rPr>
        <w:t>, 80 Va. App. 365, 897 S.E.2d 742.</w:t>
      </w:r>
    </w:p>
    <w:p w14:paraId="1453CC21" w14:textId="3E9816C4" w:rsidR="00CD11F5" w:rsidRDefault="00E439AA" w:rsidP="00CD11F5">
      <w:pPr>
        <w:pStyle w:val="BodyText"/>
        <w:spacing w:before="120" w:after="120"/>
        <w:ind w:left="1440"/>
        <w:jc w:val="both"/>
        <w:rPr>
          <w:color w:val="231F20"/>
        </w:rPr>
      </w:pPr>
      <w:r>
        <w:rPr>
          <w:color w:val="231F20"/>
        </w:rPr>
        <w:t xml:space="preserve">Arrestee, while in back of police vehicle, managed to get free of his handcuffs, obtained loaded gun from front seat of police vehicle and shot himself. Whether the actions of the police amounted to gross negligence was a jury issue. Whether the plaintiff was of unsound mind and therefore had requisite </w:t>
      </w:r>
      <w:r w:rsidRPr="00E439AA">
        <w:rPr>
          <w:i/>
          <w:iCs/>
          <w:color w:val="231F20"/>
        </w:rPr>
        <w:t>mens rea</w:t>
      </w:r>
      <w:r>
        <w:rPr>
          <w:color w:val="231F20"/>
        </w:rPr>
        <w:t xml:space="preserve"> to have violated firearms statute was likewise a jury issue. </w:t>
      </w:r>
      <w:r w:rsidR="009E1B17">
        <w:rPr>
          <w:color w:val="231F20"/>
        </w:rPr>
        <w:t>Gross negligence must be evaluated based upon the totality of the evidence and not just whether the defendant exercised some degree of care initially.</w:t>
      </w:r>
    </w:p>
    <w:p w14:paraId="004C3C3A"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2.06</w:t>
      </w:r>
      <w:r>
        <w:rPr>
          <w:color w:val="231F20"/>
        </w:rPr>
        <w:tab/>
      </w:r>
      <w:r w:rsidRPr="00324C7E">
        <w:rPr>
          <w:color w:val="231F20"/>
        </w:rPr>
        <w:t>Immunity</w:t>
      </w:r>
    </w:p>
    <w:p w14:paraId="07AF38B8" w14:textId="77777777" w:rsidR="009910CD" w:rsidRDefault="00FC2690" w:rsidP="0038514E">
      <w:pPr>
        <w:tabs>
          <w:tab w:val="left" w:pos="1170"/>
        </w:tabs>
        <w:spacing w:before="95"/>
        <w:ind w:left="720"/>
        <w:rPr>
          <w:b/>
        </w:rPr>
      </w:pPr>
      <w:r>
        <w:rPr>
          <w:b/>
          <w:color w:val="231F20"/>
        </w:rPr>
        <w:t>[1]</w:t>
      </w:r>
      <w:r>
        <w:rPr>
          <w:b/>
          <w:color w:val="231F20"/>
        </w:rPr>
        <w:tab/>
      </w:r>
      <w:r>
        <w:rPr>
          <w:b/>
          <w:color w:val="231F20"/>
          <w:w w:val="95"/>
        </w:rPr>
        <w:t>Charitable</w:t>
      </w:r>
    </w:p>
    <w:p w14:paraId="681F8E6F" w14:textId="77777777" w:rsidR="009910CD" w:rsidRDefault="00FC2690" w:rsidP="00451169">
      <w:pPr>
        <w:spacing w:before="135"/>
        <w:ind w:left="720"/>
      </w:pPr>
      <w:r>
        <w:rPr>
          <w:color w:val="231F20"/>
        </w:rPr>
        <w:t>2014—</w:t>
      </w:r>
      <w:r>
        <w:rPr>
          <w:i/>
          <w:color w:val="231F20"/>
        </w:rPr>
        <w:t>Byrd Theatre Foundation v.</w:t>
      </w:r>
      <w:r w:rsidR="00B64C57">
        <w:rPr>
          <w:i/>
          <w:color w:val="231F20"/>
        </w:rPr>
        <w:t xml:space="preserve"> </w:t>
      </w:r>
      <w:r>
        <w:rPr>
          <w:i/>
          <w:color w:val="231F20"/>
        </w:rPr>
        <w:t>Barnett</w:t>
      </w:r>
      <w:r>
        <w:rPr>
          <w:color w:val="231F20"/>
        </w:rPr>
        <w:t>, 287 Va.</w:t>
      </w:r>
      <w:r w:rsidR="00B64C57">
        <w:rPr>
          <w:color w:val="231F20"/>
        </w:rPr>
        <w:t xml:space="preserve"> </w:t>
      </w:r>
      <w:r>
        <w:rPr>
          <w:color w:val="231F20"/>
        </w:rPr>
        <w:t>291, 754 S.E.2d</w:t>
      </w:r>
      <w:r w:rsidR="00B64C57">
        <w:rPr>
          <w:color w:val="231F20"/>
        </w:rPr>
        <w:t xml:space="preserve"> </w:t>
      </w:r>
      <w:r>
        <w:rPr>
          <w:color w:val="231F20"/>
        </w:rPr>
        <w:t>299.</w:t>
      </w:r>
    </w:p>
    <w:p w14:paraId="1DA82B42" w14:textId="77777777" w:rsidR="009910CD" w:rsidRPr="00130C4A" w:rsidRDefault="00FC2690" w:rsidP="00185AFE">
      <w:pPr>
        <w:pStyle w:val="BodyText"/>
        <w:spacing w:before="120" w:after="120"/>
        <w:ind w:left="1440"/>
        <w:jc w:val="both"/>
        <w:rPr>
          <w:color w:val="231F20"/>
        </w:rPr>
      </w:pPr>
      <w:r>
        <w:rPr>
          <w:color w:val="231F20"/>
        </w:rPr>
        <w:t>A member of this foundation was injured while attempting to repair pipe organ. Plea of charitable immunity was properly denied since Barnett</w:t>
      </w:r>
      <w:r w:rsidRPr="00130C4A">
        <w:rPr>
          <w:color w:val="231F20"/>
        </w:rPr>
        <w:t xml:space="preserve"> </w:t>
      </w:r>
      <w:r>
        <w:rPr>
          <w:color w:val="231F20"/>
        </w:rPr>
        <w:t>was</w:t>
      </w:r>
      <w:r w:rsidRPr="00130C4A">
        <w:rPr>
          <w:color w:val="231F20"/>
        </w:rPr>
        <w:t xml:space="preserve"> </w:t>
      </w:r>
      <w:r>
        <w:rPr>
          <w:color w:val="231F20"/>
        </w:rPr>
        <w:t>not</w:t>
      </w:r>
      <w:r w:rsidRPr="00130C4A">
        <w:rPr>
          <w:color w:val="231F20"/>
        </w:rPr>
        <w:t xml:space="preserve"> </w:t>
      </w:r>
      <w:r>
        <w:rPr>
          <w:color w:val="231F20"/>
        </w:rPr>
        <w:t>a</w:t>
      </w:r>
      <w:r w:rsidRPr="00130C4A">
        <w:rPr>
          <w:color w:val="231F20"/>
        </w:rPr>
        <w:t xml:space="preserve"> </w:t>
      </w:r>
      <w:r>
        <w:rPr>
          <w:color w:val="231F20"/>
        </w:rPr>
        <w:t>beneficiary</w:t>
      </w:r>
      <w:r w:rsidRPr="00130C4A">
        <w:rPr>
          <w:color w:val="231F20"/>
        </w:rPr>
        <w:t xml:space="preserve"> </w:t>
      </w:r>
      <w:r>
        <w:rPr>
          <w:color w:val="231F20"/>
        </w:rPr>
        <w:t>of</w:t>
      </w:r>
      <w:r w:rsidRPr="00130C4A">
        <w:rPr>
          <w:color w:val="231F20"/>
        </w:rPr>
        <w:t xml:space="preserve"> </w:t>
      </w:r>
      <w:r>
        <w:rPr>
          <w:color w:val="231F20"/>
        </w:rPr>
        <w:t>the</w:t>
      </w:r>
      <w:r w:rsidRPr="00130C4A">
        <w:rPr>
          <w:color w:val="231F20"/>
        </w:rPr>
        <w:t xml:space="preserve"> </w:t>
      </w:r>
      <w:r>
        <w:rPr>
          <w:color w:val="231F20"/>
        </w:rPr>
        <w:t>foundation’s</w:t>
      </w:r>
      <w:r w:rsidRPr="00130C4A">
        <w:rPr>
          <w:color w:val="231F20"/>
        </w:rPr>
        <w:t xml:space="preserve"> </w:t>
      </w:r>
      <w:r>
        <w:rPr>
          <w:color w:val="231F20"/>
        </w:rPr>
        <w:t>mission</w:t>
      </w:r>
      <w:r w:rsidRPr="00130C4A">
        <w:rPr>
          <w:color w:val="231F20"/>
        </w:rPr>
        <w:t xml:space="preserve"> </w:t>
      </w:r>
      <w:r>
        <w:rPr>
          <w:color w:val="231F20"/>
        </w:rPr>
        <w:t>at</w:t>
      </w:r>
      <w:r w:rsidRPr="00130C4A">
        <w:rPr>
          <w:color w:val="231F20"/>
        </w:rPr>
        <w:t xml:space="preserve"> </w:t>
      </w:r>
      <w:r>
        <w:rPr>
          <w:color w:val="231F20"/>
        </w:rPr>
        <w:t>the</w:t>
      </w:r>
      <w:r w:rsidRPr="00130C4A">
        <w:rPr>
          <w:color w:val="231F20"/>
        </w:rPr>
        <w:t xml:space="preserve"> </w:t>
      </w:r>
      <w:r>
        <w:rPr>
          <w:color w:val="231F20"/>
        </w:rPr>
        <w:t>time he was</w:t>
      </w:r>
      <w:r w:rsidRPr="00130C4A">
        <w:rPr>
          <w:color w:val="231F20"/>
        </w:rPr>
        <w:t xml:space="preserve"> </w:t>
      </w:r>
      <w:r>
        <w:rPr>
          <w:color w:val="231F20"/>
        </w:rPr>
        <w:t>injured.</w:t>
      </w:r>
    </w:p>
    <w:p w14:paraId="57903F98" w14:textId="089C70E6" w:rsidR="009910CD" w:rsidRDefault="00FC2690" w:rsidP="00EB4AD6">
      <w:pPr>
        <w:pStyle w:val="Heading4"/>
        <w:tabs>
          <w:tab w:val="left" w:pos="1170"/>
        </w:tabs>
        <w:ind w:left="720"/>
        <w:rPr>
          <w:color w:val="231F20"/>
        </w:rPr>
      </w:pPr>
      <w:r>
        <w:rPr>
          <w:color w:val="231F20"/>
        </w:rPr>
        <w:t>[5]</w:t>
      </w:r>
      <w:r>
        <w:rPr>
          <w:color w:val="231F20"/>
        </w:rPr>
        <w:tab/>
        <w:t>Sovereign</w:t>
      </w:r>
    </w:p>
    <w:p w14:paraId="74A3CAB1" w14:textId="2B192A90" w:rsidR="00B047FC" w:rsidRDefault="00B047FC" w:rsidP="00EB4AD6">
      <w:pPr>
        <w:pStyle w:val="Heading4"/>
        <w:tabs>
          <w:tab w:val="left" w:pos="1170"/>
        </w:tabs>
        <w:ind w:left="720"/>
        <w:rPr>
          <w:b w:val="0"/>
          <w:bCs w:val="0"/>
          <w:color w:val="231F20"/>
        </w:rPr>
      </w:pPr>
      <w:r>
        <w:rPr>
          <w:color w:val="231F20"/>
        </w:rPr>
        <w:tab/>
        <w:t>[a]</w:t>
      </w:r>
      <w:r>
        <w:rPr>
          <w:color w:val="231F20"/>
        </w:rPr>
        <w:tab/>
        <w:t xml:space="preserve">   City and Town</w:t>
      </w:r>
    </w:p>
    <w:p w14:paraId="65047F76" w14:textId="14CC18F5" w:rsidR="00F86855" w:rsidRDefault="00F86855" w:rsidP="00EB4AD6">
      <w:pPr>
        <w:pStyle w:val="Heading4"/>
        <w:tabs>
          <w:tab w:val="left" w:pos="1170"/>
        </w:tabs>
        <w:ind w:left="720"/>
        <w:rPr>
          <w:b w:val="0"/>
          <w:bCs w:val="0"/>
          <w:color w:val="231F20"/>
        </w:rPr>
      </w:pPr>
      <w:r>
        <w:rPr>
          <w:b w:val="0"/>
          <w:bCs w:val="0"/>
          <w:color w:val="231F20"/>
        </w:rPr>
        <w:t>2022</w:t>
      </w:r>
      <w:r>
        <w:rPr>
          <w:color w:val="231F20"/>
        </w:rPr>
        <w:t>—</w:t>
      </w:r>
      <w:r>
        <w:rPr>
          <w:b w:val="0"/>
          <w:bCs w:val="0"/>
          <w:i/>
          <w:iCs/>
          <w:color w:val="231F20"/>
        </w:rPr>
        <w:t>Patterson</w:t>
      </w:r>
      <w:r w:rsidRPr="007A00D1">
        <w:rPr>
          <w:b w:val="0"/>
          <w:bCs w:val="0"/>
          <w:i/>
          <w:iCs/>
          <w:color w:val="231F20"/>
        </w:rPr>
        <w:t xml:space="preserve"> v. City of </w:t>
      </w:r>
      <w:r>
        <w:rPr>
          <w:b w:val="0"/>
          <w:bCs w:val="0"/>
          <w:i/>
          <w:iCs/>
          <w:color w:val="231F20"/>
        </w:rPr>
        <w:t>Danville</w:t>
      </w:r>
      <w:r>
        <w:rPr>
          <w:b w:val="0"/>
          <w:bCs w:val="0"/>
          <w:color w:val="231F20"/>
        </w:rPr>
        <w:t>, 875 S.E.2d 65.</w:t>
      </w:r>
    </w:p>
    <w:p w14:paraId="60B170D0" w14:textId="4D286CA5" w:rsidR="00F86855" w:rsidRDefault="00F86855" w:rsidP="00F86855">
      <w:pPr>
        <w:pStyle w:val="Heading4"/>
        <w:tabs>
          <w:tab w:val="left" w:pos="1170"/>
        </w:tabs>
        <w:ind w:left="1440"/>
        <w:rPr>
          <w:b w:val="0"/>
          <w:bCs w:val="0"/>
          <w:color w:val="231F20"/>
        </w:rPr>
      </w:pPr>
      <w:r>
        <w:rPr>
          <w:b w:val="0"/>
          <w:bCs w:val="0"/>
          <w:color w:val="231F20"/>
        </w:rPr>
        <w:t xml:space="preserve">Medical malpractice action against physician employed to render care to inmates at city jail.  Physician enjoys same immunity as the municipality i.e., for governmental </w:t>
      </w:r>
      <w:proofErr w:type="gramStart"/>
      <w:r>
        <w:rPr>
          <w:b w:val="0"/>
          <w:bCs w:val="0"/>
          <w:color w:val="231F20"/>
        </w:rPr>
        <w:t>function</w:t>
      </w:r>
      <w:proofErr w:type="gramEnd"/>
      <w:r>
        <w:rPr>
          <w:b w:val="0"/>
          <w:bCs w:val="0"/>
          <w:color w:val="231F20"/>
        </w:rPr>
        <w:t xml:space="preserve"> and governmental function is one exclusively for the public welfare.  In looking at the immunity of the employees, the court looks at four factors: the nature of the function, the extent of the employer’s involvement, degree of control exercised and whether the act complained of involves discretion.  In this case, physician is immune.  Gross negligence claim dismissed on demurrer as failing to allege sufficient facts. </w:t>
      </w:r>
    </w:p>
    <w:p w14:paraId="7F82AAFA" w14:textId="789AAB7A" w:rsidR="009E658D" w:rsidRDefault="009E658D" w:rsidP="00EB4AD6">
      <w:pPr>
        <w:pStyle w:val="Heading4"/>
        <w:tabs>
          <w:tab w:val="left" w:pos="1170"/>
        </w:tabs>
        <w:ind w:left="720"/>
        <w:rPr>
          <w:b w:val="0"/>
          <w:bCs w:val="0"/>
          <w:color w:val="231F20"/>
        </w:rPr>
      </w:pPr>
      <w:r>
        <w:rPr>
          <w:b w:val="0"/>
          <w:bCs w:val="0"/>
          <w:color w:val="231F20"/>
        </w:rPr>
        <w:t>2019</w:t>
      </w:r>
      <w:r>
        <w:rPr>
          <w:color w:val="231F20"/>
        </w:rPr>
        <w:t>—</w:t>
      </w:r>
      <w:r w:rsidRPr="007A00D1">
        <w:rPr>
          <w:b w:val="0"/>
          <w:bCs w:val="0"/>
          <w:i/>
          <w:iCs/>
          <w:color w:val="231F20"/>
        </w:rPr>
        <w:t>Massenburg v. City of Petersburg</w:t>
      </w:r>
      <w:r>
        <w:rPr>
          <w:b w:val="0"/>
          <w:bCs w:val="0"/>
          <w:color w:val="231F20"/>
        </w:rPr>
        <w:t>, 298 Va. 212, 836 S.E.2d 391.</w:t>
      </w:r>
    </w:p>
    <w:p w14:paraId="213CD65A" w14:textId="0A636D17" w:rsidR="009E658D" w:rsidRPr="007A00D1" w:rsidRDefault="009E658D" w:rsidP="00AF062B">
      <w:pPr>
        <w:pStyle w:val="Heading4"/>
        <w:tabs>
          <w:tab w:val="left" w:pos="1170"/>
        </w:tabs>
        <w:ind w:left="1440"/>
        <w:jc w:val="both"/>
        <w:rPr>
          <w:b w:val="0"/>
          <w:bCs w:val="0"/>
          <w:color w:val="231F20"/>
        </w:rPr>
      </w:pPr>
      <w:r>
        <w:rPr>
          <w:b w:val="0"/>
          <w:bCs w:val="0"/>
          <w:color w:val="231F20"/>
        </w:rPr>
        <w:t xml:space="preserve">In wrongful death action, plaintiff sued city of Petersburg for inadequate or insufficient sustained flow of water during fire resulting in death.  Provision </w:t>
      </w:r>
      <w:r w:rsidR="00E510B9">
        <w:rPr>
          <w:b w:val="0"/>
          <w:bCs w:val="0"/>
          <w:color w:val="231F20"/>
        </w:rPr>
        <w:t>and</w:t>
      </w:r>
      <w:r>
        <w:rPr>
          <w:b w:val="0"/>
          <w:bCs w:val="0"/>
          <w:color w:val="231F20"/>
        </w:rPr>
        <w:t xml:space="preserve"> maintenance of fire hydrants is a governmental function and therefore city is immune.  </w:t>
      </w:r>
    </w:p>
    <w:p w14:paraId="53E48209" w14:textId="51CE8AB6" w:rsidR="007C4A31" w:rsidRPr="00B047FC" w:rsidRDefault="007C4A31">
      <w:pPr>
        <w:pStyle w:val="ListParagraph"/>
        <w:numPr>
          <w:ilvl w:val="1"/>
          <w:numId w:val="34"/>
        </w:numPr>
        <w:tabs>
          <w:tab w:val="left" w:pos="1620"/>
        </w:tabs>
        <w:spacing w:before="96"/>
        <w:ind w:hanging="1158"/>
        <w:jc w:val="both"/>
        <w:rPr>
          <w:b/>
        </w:rPr>
      </w:pPr>
      <w:r w:rsidRPr="00B047FC">
        <w:rPr>
          <w:b/>
          <w:color w:val="231F20"/>
        </w:rPr>
        <w:t>Commonwealth</w:t>
      </w:r>
    </w:p>
    <w:p w14:paraId="005D689E" w14:textId="77777777" w:rsidR="007C4A31" w:rsidRDefault="007C4A31" w:rsidP="00451169">
      <w:pPr>
        <w:tabs>
          <w:tab w:val="left" w:pos="2329"/>
        </w:tabs>
        <w:spacing w:before="96"/>
        <w:ind w:left="720"/>
        <w:jc w:val="both"/>
        <w:rPr>
          <w:color w:val="231F20"/>
        </w:rPr>
      </w:pPr>
      <w:r w:rsidRPr="007C4A31">
        <w:t>2016</w:t>
      </w:r>
      <w:r>
        <w:rPr>
          <w:color w:val="231F20"/>
        </w:rPr>
        <w:t>—</w:t>
      </w:r>
      <w:r>
        <w:rPr>
          <w:i/>
          <w:color w:val="231F20"/>
        </w:rPr>
        <w:t>Phelan v. Commonwealth</w:t>
      </w:r>
      <w:r>
        <w:rPr>
          <w:color w:val="231F20"/>
        </w:rPr>
        <w:t>, 291 Va. 192, 781 S.E.2d 567</w:t>
      </w:r>
      <w:r w:rsidR="00546397">
        <w:rPr>
          <w:color w:val="231F20"/>
        </w:rPr>
        <w:t>.</w:t>
      </w:r>
    </w:p>
    <w:p w14:paraId="1A83249B" w14:textId="77777777" w:rsidR="007C4A31" w:rsidRPr="003437E7" w:rsidRDefault="00546397" w:rsidP="00185AFE">
      <w:pPr>
        <w:pStyle w:val="BodyText"/>
        <w:spacing w:before="120" w:after="120"/>
        <w:ind w:left="1440"/>
        <w:jc w:val="both"/>
        <w:rPr>
          <w:color w:val="231F20"/>
        </w:rPr>
      </w:pPr>
      <w:r w:rsidRPr="003437E7">
        <w:rPr>
          <w:color w:val="231F20"/>
        </w:rPr>
        <w:t xml:space="preserve">Notice of claim by prisoner against Department of Corrections must explicitly include the agency alleged to be liable.  Even though such information may be inferred from the notice, that is not sufficient.  </w:t>
      </w:r>
    </w:p>
    <w:p w14:paraId="3420126C" w14:textId="77777777" w:rsidR="009910CD" w:rsidRDefault="00FC2690" w:rsidP="00EB4AD6">
      <w:pPr>
        <w:pStyle w:val="ListParagraph"/>
        <w:numPr>
          <w:ilvl w:val="1"/>
          <w:numId w:val="25"/>
        </w:numPr>
        <w:tabs>
          <w:tab w:val="left" w:pos="1620"/>
        </w:tabs>
        <w:spacing w:before="96"/>
        <w:ind w:hanging="1158"/>
        <w:jc w:val="both"/>
        <w:rPr>
          <w:b/>
        </w:rPr>
      </w:pPr>
      <w:r>
        <w:rPr>
          <w:b/>
          <w:color w:val="231F20"/>
        </w:rPr>
        <w:lastRenderedPageBreak/>
        <w:t>Counties</w:t>
      </w:r>
    </w:p>
    <w:p w14:paraId="4D6F7F59" w14:textId="77777777" w:rsidR="009910CD" w:rsidRDefault="00FC2690" w:rsidP="00451169">
      <w:pPr>
        <w:spacing w:before="136"/>
        <w:ind w:left="720"/>
      </w:pPr>
      <w:r>
        <w:rPr>
          <w:color w:val="231F20"/>
        </w:rPr>
        <w:t>2012—</w:t>
      </w:r>
      <w:r>
        <w:rPr>
          <w:i/>
          <w:color w:val="231F20"/>
        </w:rPr>
        <w:t>Seabolt v.</w:t>
      </w:r>
      <w:r w:rsidR="00B64C57">
        <w:rPr>
          <w:i/>
          <w:color w:val="231F20"/>
        </w:rPr>
        <w:t xml:space="preserve"> </w:t>
      </w:r>
      <w:r>
        <w:rPr>
          <w:i/>
          <w:color w:val="231F20"/>
        </w:rPr>
        <w:t>County of Albemarle</w:t>
      </w:r>
      <w:r>
        <w:rPr>
          <w:color w:val="231F20"/>
        </w:rPr>
        <w:t>, 283 Va.</w:t>
      </w:r>
      <w:r w:rsidR="00B64C57">
        <w:rPr>
          <w:color w:val="231F20"/>
        </w:rPr>
        <w:t xml:space="preserve"> </w:t>
      </w:r>
      <w:r>
        <w:rPr>
          <w:color w:val="231F20"/>
        </w:rPr>
        <w:t>717, 724 S.E.2d</w:t>
      </w:r>
      <w:r w:rsidR="00B64C57">
        <w:rPr>
          <w:color w:val="231F20"/>
        </w:rPr>
        <w:t xml:space="preserve"> </w:t>
      </w:r>
      <w:r>
        <w:rPr>
          <w:color w:val="231F20"/>
        </w:rPr>
        <w:t>715.</w:t>
      </w:r>
    </w:p>
    <w:p w14:paraId="49755BA3" w14:textId="77777777" w:rsidR="009910CD" w:rsidRPr="00130C4A" w:rsidRDefault="00FC2690" w:rsidP="00185AFE">
      <w:pPr>
        <w:pStyle w:val="BodyText"/>
        <w:spacing w:before="120" w:after="120"/>
        <w:ind w:left="1440"/>
        <w:jc w:val="both"/>
        <w:rPr>
          <w:color w:val="231F20"/>
        </w:rPr>
      </w:pPr>
      <w:r>
        <w:rPr>
          <w:color w:val="231F20"/>
        </w:rPr>
        <w:t>County is absolutely immune in tort. City or town may be liable for gross negligence and sued for damages arising out of operation or maintenance of public park, recreational facility, or</w:t>
      </w:r>
      <w:r w:rsidR="00B64C57">
        <w:rPr>
          <w:color w:val="231F20"/>
        </w:rPr>
        <w:t xml:space="preserve"> </w:t>
      </w:r>
      <w:r>
        <w:rPr>
          <w:color w:val="231F20"/>
        </w:rPr>
        <w:t>playground.</w:t>
      </w:r>
    </w:p>
    <w:p w14:paraId="3649620B" w14:textId="77777777" w:rsidR="009910CD" w:rsidRDefault="00FC2690" w:rsidP="00EB4AD6">
      <w:pPr>
        <w:pStyle w:val="Heading4"/>
        <w:numPr>
          <w:ilvl w:val="1"/>
          <w:numId w:val="25"/>
        </w:numPr>
        <w:tabs>
          <w:tab w:val="left" w:pos="1620"/>
        </w:tabs>
        <w:ind w:left="2353" w:hanging="1183"/>
        <w:jc w:val="both"/>
      </w:pPr>
      <w:r>
        <w:rPr>
          <w:color w:val="231F20"/>
        </w:rPr>
        <w:t>Employees</w:t>
      </w:r>
    </w:p>
    <w:p w14:paraId="2891C783" w14:textId="31C1297F" w:rsidR="00EA48B6" w:rsidRPr="00E238B4" w:rsidRDefault="00EA48B6" w:rsidP="00EA48B6">
      <w:pPr>
        <w:spacing w:before="136"/>
        <w:ind w:left="720"/>
        <w:rPr>
          <w:color w:val="231F20"/>
        </w:rPr>
      </w:pPr>
      <w:r>
        <w:rPr>
          <w:color w:val="231F20"/>
        </w:rPr>
        <w:t>2020—</w:t>
      </w:r>
      <w:r>
        <w:rPr>
          <w:i/>
          <w:color w:val="231F20"/>
        </w:rPr>
        <w:t>Viers v. Baker</w:t>
      </w:r>
      <w:r>
        <w:rPr>
          <w:color w:val="231F20"/>
        </w:rPr>
        <w:t>, 298 Va. 553, 841 S.E.2d 857.</w:t>
      </w:r>
    </w:p>
    <w:p w14:paraId="7B9FA947" w14:textId="0490D320" w:rsidR="00EA48B6" w:rsidRPr="00130C4A" w:rsidRDefault="00EA48B6" w:rsidP="00EA48B6">
      <w:pPr>
        <w:pStyle w:val="BodyText"/>
        <w:spacing w:before="120" w:after="120"/>
        <w:ind w:left="1440"/>
        <w:jc w:val="both"/>
        <w:rPr>
          <w:color w:val="231F20"/>
        </w:rPr>
      </w:pPr>
      <w:r>
        <w:rPr>
          <w:color w:val="231F20"/>
        </w:rPr>
        <w:t xml:space="preserve">County attorney was sued for defamation and intentional infliction of emotional distress.  Attorney is not entitled to absolute immunity for defamation.  The intentional inflection of emotional distress claim is dismissed on demurrer.  County Attorney’s statement that person had tampered with computer and wiped it clean was not so outrageous or intolerable as to go beyond all possible bounds of decency so as to state claim for intentional infliction of emotional distress.  </w:t>
      </w:r>
    </w:p>
    <w:p w14:paraId="38431411" w14:textId="4B069D76" w:rsidR="00E238B4" w:rsidRPr="00E238B4" w:rsidRDefault="00E238B4" w:rsidP="00451169">
      <w:pPr>
        <w:spacing w:before="136"/>
        <w:ind w:left="720"/>
        <w:rPr>
          <w:color w:val="231F20"/>
        </w:rPr>
      </w:pPr>
      <w:r>
        <w:rPr>
          <w:color w:val="231F20"/>
        </w:rPr>
        <w:t>2016—</w:t>
      </w:r>
      <w:r>
        <w:rPr>
          <w:i/>
          <w:color w:val="231F20"/>
        </w:rPr>
        <w:t>Pike v. Hagaman</w:t>
      </w:r>
      <w:r>
        <w:rPr>
          <w:color w:val="231F20"/>
        </w:rPr>
        <w:t>, 292 Va. 209, 787 S.E.2d 89.</w:t>
      </w:r>
    </w:p>
    <w:p w14:paraId="0065A260" w14:textId="77777777" w:rsidR="00E238B4" w:rsidRPr="00130C4A" w:rsidRDefault="00E238B4" w:rsidP="00185AFE">
      <w:pPr>
        <w:pStyle w:val="BodyText"/>
        <w:spacing w:before="120" w:after="120"/>
        <w:ind w:left="1440"/>
        <w:jc w:val="both"/>
        <w:rPr>
          <w:color w:val="231F20"/>
        </w:rPr>
      </w:pPr>
      <w:r>
        <w:rPr>
          <w:color w:val="231F20"/>
        </w:rPr>
        <w:t xml:space="preserve">Medical malpractice action against nurse employed by VCU.  Court </w:t>
      </w:r>
      <w:r w:rsidR="00BD7A0D">
        <w:rPr>
          <w:color w:val="231F20"/>
        </w:rPr>
        <w:t>applied four factors and found that nurse was entitled to immunity</w:t>
      </w:r>
      <w:r>
        <w:rPr>
          <w:color w:val="231F20"/>
        </w:rPr>
        <w:t>.</w:t>
      </w:r>
    </w:p>
    <w:p w14:paraId="5612FA51" w14:textId="77777777" w:rsidR="009910CD" w:rsidRDefault="00FC2690" w:rsidP="00451169">
      <w:pPr>
        <w:spacing w:before="136"/>
        <w:ind w:left="720"/>
      </w:pPr>
      <w:r>
        <w:rPr>
          <w:color w:val="231F20"/>
        </w:rPr>
        <w:t>2014—</w:t>
      </w:r>
      <w:r>
        <w:rPr>
          <w:i/>
          <w:color w:val="231F20"/>
        </w:rPr>
        <w:t>McBride v.</w:t>
      </w:r>
      <w:r w:rsidR="00B64C57">
        <w:rPr>
          <w:i/>
          <w:color w:val="231F20"/>
        </w:rPr>
        <w:t xml:space="preserve"> </w:t>
      </w:r>
      <w:r>
        <w:rPr>
          <w:i/>
          <w:color w:val="231F20"/>
        </w:rPr>
        <w:t>Bennett</w:t>
      </w:r>
      <w:r>
        <w:rPr>
          <w:color w:val="231F20"/>
        </w:rPr>
        <w:t xml:space="preserve">, </w:t>
      </w:r>
      <w:r w:rsidR="007906AC">
        <w:rPr>
          <w:color w:val="231F20"/>
        </w:rPr>
        <w:t xml:space="preserve">288 Va. 450, </w:t>
      </w:r>
      <w:r>
        <w:rPr>
          <w:color w:val="231F20"/>
        </w:rPr>
        <w:t>764 S.E.2d 44.</w:t>
      </w:r>
    </w:p>
    <w:p w14:paraId="3119CD2B" w14:textId="77777777" w:rsidR="009910CD" w:rsidRPr="00130C4A" w:rsidRDefault="00FC2690" w:rsidP="00185AFE">
      <w:pPr>
        <w:pStyle w:val="BodyText"/>
        <w:spacing w:before="120" w:after="120"/>
        <w:ind w:left="1440"/>
        <w:jc w:val="both"/>
        <w:rPr>
          <w:color w:val="231F20"/>
        </w:rPr>
      </w:pPr>
      <w:r w:rsidRPr="00130C4A">
        <w:rPr>
          <w:color w:val="231F20"/>
        </w:rPr>
        <w:t xml:space="preserve">Officer </w:t>
      </w:r>
      <w:r>
        <w:rPr>
          <w:color w:val="231F20"/>
        </w:rPr>
        <w:t>responding</w:t>
      </w:r>
      <w:r w:rsidRPr="00130C4A">
        <w:rPr>
          <w:color w:val="231F20"/>
        </w:rPr>
        <w:t xml:space="preserve"> </w:t>
      </w:r>
      <w:r>
        <w:rPr>
          <w:color w:val="231F20"/>
        </w:rPr>
        <w:t>to</w:t>
      </w:r>
      <w:r w:rsidRPr="00130C4A">
        <w:rPr>
          <w:color w:val="231F20"/>
        </w:rPr>
        <w:t xml:space="preserve"> </w:t>
      </w:r>
      <w:r>
        <w:rPr>
          <w:color w:val="231F20"/>
        </w:rPr>
        <w:t>non-emergency</w:t>
      </w:r>
      <w:r w:rsidRPr="00130C4A">
        <w:rPr>
          <w:color w:val="231F20"/>
        </w:rPr>
        <w:t xml:space="preserve"> </w:t>
      </w:r>
      <w:r>
        <w:rPr>
          <w:color w:val="231F20"/>
        </w:rPr>
        <w:t>call</w:t>
      </w:r>
      <w:r w:rsidRPr="00130C4A">
        <w:rPr>
          <w:color w:val="231F20"/>
        </w:rPr>
        <w:t xml:space="preserve"> </w:t>
      </w:r>
      <w:r>
        <w:rPr>
          <w:color w:val="231F20"/>
        </w:rPr>
        <w:t>without</w:t>
      </w:r>
      <w:r w:rsidRPr="00130C4A">
        <w:rPr>
          <w:color w:val="231F20"/>
        </w:rPr>
        <w:t xml:space="preserve"> </w:t>
      </w:r>
      <w:r>
        <w:rPr>
          <w:color w:val="231F20"/>
        </w:rPr>
        <w:t>emergency</w:t>
      </w:r>
      <w:r w:rsidRPr="00130C4A">
        <w:rPr>
          <w:color w:val="231F20"/>
        </w:rPr>
        <w:t xml:space="preserve"> </w:t>
      </w:r>
      <w:r w:rsidR="00103F1A">
        <w:rPr>
          <w:color w:val="231F20"/>
        </w:rPr>
        <w:t>equip</w:t>
      </w:r>
      <w:r>
        <w:rPr>
          <w:color w:val="231F20"/>
        </w:rPr>
        <w:t xml:space="preserve">ment strikes and kills bicyclist. Supreme Court concludes </w:t>
      </w:r>
      <w:r w:rsidRPr="00130C4A">
        <w:rPr>
          <w:color w:val="231F20"/>
        </w:rPr>
        <w:t xml:space="preserve">officer </w:t>
      </w:r>
      <w:r>
        <w:rPr>
          <w:color w:val="231F20"/>
        </w:rPr>
        <w:t>was exercising discretion therefore</w:t>
      </w:r>
      <w:r w:rsidR="00B64C57">
        <w:rPr>
          <w:color w:val="231F20"/>
        </w:rPr>
        <w:t xml:space="preserve"> </w:t>
      </w:r>
      <w:r>
        <w:rPr>
          <w:color w:val="231F20"/>
        </w:rPr>
        <w:t>immune.</w:t>
      </w:r>
    </w:p>
    <w:p w14:paraId="45E0C762" w14:textId="3A104AAC" w:rsidR="009910CD" w:rsidRDefault="00FC2690" w:rsidP="00451169">
      <w:pPr>
        <w:spacing w:before="118"/>
        <w:ind w:left="720"/>
      </w:pPr>
      <w:r>
        <w:rPr>
          <w:color w:val="231F20"/>
        </w:rPr>
        <w:t>2012—</w:t>
      </w:r>
      <w:r>
        <w:rPr>
          <w:i/>
          <w:color w:val="231F20"/>
        </w:rPr>
        <w:t>Burns v.</w:t>
      </w:r>
      <w:r w:rsidR="00B64C57">
        <w:rPr>
          <w:i/>
          <w:color w:val="231F20"/>
        </w:rPr>
        <w:t xml:space="preserve"> </w:t>
      </w:r>
      <w:r>
        <w:rPr>
          <w:i/>
          <w:color w:val="231F20"/>
        </w:rPr>
        <w:t>Gagnon</w:t>
      </w:r>
      <w:r>
        <w:rPr>
          <w:color w:val="231F20"/>
        </w:rPr>
        <w:t>, 283 Va.</w:t>
      </w:r>
      <w:r w:rsidR="00B64C57">
        <w:rPr>
          <w:color w:val="231F20"/>
        </w:rPr>
        <w:t xml:space="preserve"> </w:t>
      </w:r>
      <w:r>
        <w:rPr>
          <w:color w:val="231F20"/>
        </w:rPr>
        <w:t>657, 727 S.E.2d</w:t>
      </w:r>
      <w:r w:rsidR="00B64C57">
        <w:rPr>
          <w:color w:val="231F20"/>
        </w:rPr>
        <w:t xml:space="preserve"> </w:t>
      </w:r>
      <w:r>
        <w:rPr>
          <w:color w:val="231F20"/>
        </w:rPr>
        <w:t>634.</w:t>
      </w:r>
    </w:p>
    <w:p w14:paraId="5B4DCF7E" w14:textId="77777777" w:rsidR="009910CD" w:rsidRPr="00130C4A" w:rsidRDefault="00FC2690" w:rsidP="00E84432">
      <w:pPr>
        <w:pStyle w:val="BodyText"/>
        <w:spacing w:before="120" w:after="120"/>
        <w:ind w:left="1440"/>
        <w:jc w:val="both"/>
        <w:rPr>
          <w:color w:val="231F20"/>
        </w:rPr>
      </w:pPr>
      <w:r>
        <w:rPr>
          <w:color w:val="231F20"/>
        </w:rPr>
        <w:t>Assistant</w:t>
      </w:r>
      <w:r w:rsidRPr="00130C4A">
        <w:rPr>
          <w:color w:val="231F20"/>
        </w:rPr>
        <w:t xml:space="preserve"> </w:t>
      </w:r>
      <w:r>
        <w:rPr>
          <w:color w:val="231F20"/>
        </w:rPr>
        <w:t>Principal</w:t>
      </w:r>
      <w:r w:rsidRPr="00130C4A">
        <w:rPr>
          <w:color w:val="231F20"/>
        </w:rPr>
        <w:t xml:space="preserve"> </w:t>
      </w:r>
      <w:r>
        <w:rPr>
          <w:color w:val="231F20"/>
        </w:rPr>
        <w:t>was</w:t>
      </w:r>
      <w:r w:rsidRPr="00130C4A">
        <w:rPr>
          <w:color w:val="231F20"/>
        </w:rPr>
        <w:t xml:space="preserve"> </w:t>
      </w:r>
      <w:r>
        <w:rPr>
          <w:color w:val="231F20"/>
        </w:rPr>
        <w:t>alerted</w:t>
      </w:r>
      <w:r w:rsidRPr="00130C4A">
        <w:rPr>
          <w:color w:val="231F20"/>
        </w:rPr>
        <w:t xml:space="preserve"> </w:t>
      </w:r>
      <w:r>
        <w:rPr>
          <w:color w:val="231F20"/>
        </w:rPr>
        <w:t>to</w:t>
      </w:r>
      <w:r w:rsidRPr="00130C4A">
        <w:rPr>
          <w:color w:val="231F20"/>
        </w:rPr>
        <w:t xml:space="preserve"> </w:t>
      </w:r>
      <w:r>
        <w:rPr>
          <w:color w:val="231F20"/>
        </w:rPr>
        <w:t>impending</w:t>
      </w:r>
      <w:r w:rsidRPr="00130C4A">
        <w:rPr>
          <w:color w:val="231F20"/>
        </w:rPr>
        <w:t xml:space="preserve"> </w:t>
      </w:r>
      <w:r>
        <w:rPr>
          <w:color w:val="231F20"/>
        </w:rPr>
        <w:t>fight</w:t>
      </w:r>
      <w:r w:rsidRPr="00130C4A">
        <w:rPr>
          <w:color w:val="231F20"/>
        </w:rPr>
        <w:t xml:space="preserve"> </w:t>
      </w:r>
      <w:r>
        <w:rPr>
          <w:color w:val="231F20"/>
        </w:rPr>
        <w:t>in</w:t>
      </w:r>
      <w:r w:rsidRPr="00130C4A">
        <w:rPr>
          <w:color w:val="231F20"/>
        </w:rPr>
        <w:t xml:space="preserve"> </w:t>
      </w:r>
      <w:r>
        <w:rPr>
          <w:color w:val="231F20"/>
        </w:rPr>
        <w:t>school</w:t>
      </w:r>
      <w:r w:rsidRPr="00130C4A">
        <w:rPr>
          <w:color w:val="231F20"/>
        </w:rPr>
        <w:t xml:space="preserve"> </w:t>
      </w:r>
      <w:r>
        <w:rPr>
          <w:color w:val="231F20"/>
        </w:rPr>
        <w:t>and</w:t>
      </w:r>
      <w:r w:rsidRPr="00130C4A">
        <w:rPr>
          <w:color w:val="231F20"/>
        </w:rPr>
        <w:t xml:space="preserve"> </w:t>
      </w:r>
      <w:r>
        <w:rPr>
          <w:color w:val="231F20"/>
        </w:rPr>
        <w:t>took no</w:t>
      </w:r>
      <w:r w:rsidRPr="00130C4A">
        <w:rPr>
          <w:color w:val="231F20"/>
        </w:rPr>
        <w:t xml:space="preserve"> </w:t>
      </w:r>
      <w:r>
        <w:rPr>
          <w:color w:val="231F20"/>
        </w:rPr>
        <w:t>action.</w:t>
      </w:r>
      <w:r w:rsidRPr="00130C4A">
        <w:rPr>
          <w:color w:val="231F20"/>
        </w:rPr>
        <w:t xml:space="preserve"> </w:t>
      </w:r>
      <w:r>
        <w:rPr>
          <w:color w:val="231F20"/>
        </w:rPr>
        <w:t>Fight</w:t>
      </w:r>
      <w:r w:rsidRPr="00130C4A">
        <w:rPr>
          <w:color w:val="231F20"/>
        </w:rPr>
        <w:t xml:space="preserve"> </w:t>
      </w:r>
      <w:r>
        <w:rPr>
          <w:color w:val="231F20"/>
        </w:rPr>
        <w:t>occurred</w:t>
      </w:r>
      <w:r w:rsidRPr="00130C4A">
        <w:rPr>
          <w:color w:val="231F20"/>
        </w:rPr>
        <w:t xml:space="preserve"> </w:t>
      </w:r>
      <w:r>
        <w:rPr>
          <w:color w:val="231F20"/>
        </w:rPr>
        <w:t>and</w:t>
      </w:r>
      <w:r w:rsidRPr="00130C4A">
        <w:rPr>
          <w:color w:val="231F20"/>
        </w:rPr>
        <w:t xml:space="preserve"> </w:t>
      </w:r>
      <w:r>
        <w:rPr>
          <w:color w:val="231F20"/>
        </w:rPr>
        <w:t>student</w:t>
      </w:r>
      <w:r w:rsidRPr="00130C4A">
        <w:rPr>
          <w:color w:val="231F20"/>
        </w:rPr>
        <w:t xml:space="preserve"> </w:t>
      </w:r>
      <w:r>
        <w:rPr>
          <w:color w:val="231F20"/>
        </w:rPr>
        <w:t>was</w:t>
      </w:r>
      <w:r w:rsidRPr="00130C4A">
        <w:rPr>
          <w:color w:val="231F20"/>
        </w:rPr>
        <w:t xml:space="preserve"> </w:t>
      </w:r>
      <w:r>
        <w:rPr>
          <w:color w:val="231F20"/>
        </w:rPr>
        <w:t>severely</w:t>
      </w:r>
      <w:r w:rsidRPr="00130C4A">
        <w:rPr>
          <w:color w:val="231F20"/>
        </w:rPr>
        <w:t xml:space="preserve"> </w:t>
      </w:r>
      <w:r>
        <w:rPr>
          <w:color w:val="231F20"/>
        </w:rPr>
        <w:t>injured.</w:t>
      </w:r>
      <w:r w:rsidRPr="00130C4A">
        <w:rPr>
          <w:color w:val="231F20"/>
        </w:rPr>
        <w:t xml:space="preserve"> </w:t>
      </w:r>
      <w:r>
        <w:rPr>
          <w:color w:val="231F20"/>
        </w:rPr>
        <w:t>Assistant Principal is immune as to negligence, but gross negligence should have been submitted to</w:t>
      </w:r>
      <w:r w:rsidR="00B64C57">
        <w:rPr>
          <w:color w:val="231F20"/>
        </w:rPr>
        <w:t xml:space="preserve"> </w:t>
      </w:r>
      <w:r w:rsidRPr="00130C4A">
        <w:rPr>
          <w:color w:val="231F20"/>
        </w:rPr>
        <w:t>jury.</w:t>
      </w:r>
    </w:p>
    <w:p w14:paraId="531E0D42" w14:textId="77777777" w:rsidR="009910CD" w:rsidRDefault="00FC2690" w:rsidP="00451169">
      <w:pPr>
        <w:spacing w:before="119"/>
        <w:ind w:left="720"/>
      </w:pPr>
      <w:r>
        <w:rPr>
          <w:color w:val="231F20"/>
        </w:rPr>
        <w:t>2010—</w:t>
      </w:r>
      <w:r>
        <w:rPr>
          <w:i/>
          <w:color w:val="231F20"/>
        </w:rPr>
        <w:t>Hawthorne v.</w:t>
      </w:r>
      <w:r w:rsidR="00B64C57">
        <w:rPr>
          <w:i/>
          <w:color w:val="231F20"/>
        </w:rPr>
        <w:t xml:space="preserve"> </w:t>
      </w:r>
      <w:r>
        <w:rPr>
          <w:i/>
          <w:color w:val="231F20"/>
        </w:rPr>
        <w:t>VanMarter</w:t>
      </w:r>
      <w:r>
        <w:rPr>
          <w:color w:val="231F20"/>
        </w:rPr>
        <w:t>, 279 Va.</w:t>
      </w:r>
      <w:r w:rsidR="00B64C57">
        <w:rPr>
          <w:color w:val="231F20"/>
        </w:rPr>
        <w:t xml:space="preserve"> </w:t>
      </w:r>
      <w:r>
        <w:rPr>
          <w:color w:val="231F20"/>
        </w:rPr>
        <w:t>566, 692 S.E.2d</w:t>
      </w:r>
      <w:r w:rsidR="00B64C57">
        <w:rPr>
          <w:color w:val="231F20"/>
        </w:rPr>
        <w:t xml:space="preserve"> </w:t>
      </w:r>
      <w:r>
        <w:rPr>
          <w:color w:val="231F20"/>
        </w:rPr>
        <w:t>226.</w:t>
      </w:r>
    </w:p>
    <w:p w14:paraId="42EF79D0" w14:textId="77777777" w:rsidR="009910CD" w:rsidRDefault="00FC2690" w:rsidP="00E84432">
      <w:pPr>
        <w:pStyle w:val="BodyText"/>
        <w:spacing w:before="120" w:after="120"/>
        <w:ind w:left="1440"/>
        <w:jc w:val="both"/>
        <w:rPr>
          <w:color w:val="231F20"/>
        </w:rPr>
      </w:pPr>
      <w:r>
        <w:rPr>
          <w:color w:val="231F20"/>
        </w:rPr>
        <w:t>Circuit</w:t>
      </w:r>
      <w:r w:rsidRPr="00130C4A">
        <w:rPr>
          <w:color w:val="231F20"/>
        </w:rPr>
        <w:t xml:space="preserve"> </w:t>
      </w:r>
      <w:r>
        <w:rPr>
          <w:color w:val="231F20"/>
        </w:rPr>
        <w:t>Court</w:t>
      </w:r>
      <w:r w:rsidRPr="00130C4A">
        <w:rPr>
          <w:color w:val="231F20"/>
        </w:rPr>
        <w:t xml:space="preserve"> </w:t>
      </w:r>
      <w:r>
        <w:rPr>
          <w:color w:val="231F20"/>
        </w:rPr>
        <w:t>on</w:t>
      </w:r>
      <w:r w:rsidRPr="00130C4A">
        <w:rPr>
          <w:color w:val="231F20"/>
        </w:rPr>
        <w:t xml:space="preserve"> </w:t>
      </w:r>
      <w:r>
        <w:rPr>
          <w:color w:val="231F20"/>
        </w:rPr>
        <w:t>Plea</w:t>
      </w:r>
      <w:r w:rsidRPr="00130C4A">
        <w:rPr>
          <w:color w:val="231F20"/>
        </w:rPr>
        <w:t xml:space="preserve"> </w:t>
      </w:r>
      <w:r>
        <w:rPr>
          <w:color w:val="231F20"/>
        </w:rPr>
        <w:t>in</w:t>
      </w:r>
      <w:r w:rsidRPr="00130C4A">
        <w:rPr>
          <w:color w:val="231F20"/>
        </w:rPr>
        <w:t xml:space="preserve"> </w:t>
      </w:r>
      <w:r>
        <w:rPr>
          <w:color w:val="231F20"/>
        </w:rPr>
        <w:t>Bar</w:t>
      </w:r>
      <w:r w:rsidRPr="00130C4A">
        <w:rPr>
          <w:color w:val="231F20"/>
        </w:rPr>
        <w:t xml:space="preserve"> </w:t>
      </w:r>
      <w:r>
        <w:rPr>
          <w:color w:val="231F20"/>
        </w:rPr>
        <w:t>decided</w:t>
      </w:r>
      <w:r w:rsidRPr="00130C4A">
        <w:rPr>
          <w:color w:val="231F20"/>
        </w:rPr>
        <w:t xml:space="preserve"> </w:t>
      </w:r>
      <w:r>
        <w:rPr>
          <w:color w:val="231F20"/>
        </w:rPr>
        <w:t>issue</w:t>
      </w:r>
      <w:r w:rsidRPr="00130C4A">
        <w:rPr>
          <w:color w:val="231F20"/>
        </w:rPr>
        <w:t xml:space="preserve"> </w:t>
      </w:r>
      <w:r>
        <w:rPr>
          <w:color w:val="231F20"/>
        </w:rPr>
        <w:t>on</w:t>
      </w:r>
      <w:r w:rsidRPr="00130C4A">
        <w:rPr>
          <w:color w:val="231F20"/>
        </w:rPr>
        <w:t xml:space="preserve"> </w:t>
      </w:r>
      <w:r>
        <w:rPr>
          <w:color w:val="231F20"/>
        </w:rPr>
        <w:t>sovereign</w:t>
      </w:r>
      <w:r w:rsidRPr="00130C4A">
        <w:rPr>
          <w:color w:val="231F20"/>
        </w:rPr>
        <w:t xml:space="preserve"> </w:t>
      </w:r>
      <w:r>
        <w:rPr>
          <w:color w:val="231F20"/>
        </w:rPr>
        <w:t>immunity</w:t>
      </w:r>
      <w:r w:rsidRPr="00130C4A">
        <w:rPr>
          <w:color w:val="231F20"/>
        </w:rPr>
        <w:t xml:space="preserve"> </w:t>
      </w:r>
      <w:r>
        <w:rPr>
          <w:color w:val="231F20"/>
        </w:rPr>
        <w:t>in favor of the defendant and with consent of parties resolved all factual and legal issues as to immunity. If either party had</w:t>
      </w:r>
      <w:r w:rsidRPr="00130C4A">
        <w:rPr>
          <w:color w:val="231F20"/>
        </w:rPr>
        <w:t xml:space="preserve"> </w:t>
      </w:r>
      <w:r>
        <w:rPr>
          <w:color w:val="231F20"/>
        </w:rPr>
        <w:t>requested a</w:t>
      </w:r>
      <w:r w:rsidRPr="00130C4A">
        <w:rPr>
          <w:color w:val="231F20"/>
        </w:rPr>
        <w:t xml:space="preserve"> </w:t>
      </w:r>
      <w:r>
        <w:rPr>
          <w:color w:val="231F20"/>
        </w:rPr>
        <w:t>jury</w:t>
      </w:r>
      <w:r w:rsidRPr="00130C4A">
        <w:rPr>
          <w:color w:val="231F20"/>
        </w:rPr>
        <w:t xml:space="preserve"> </w:t>
      </w:r>
      <w:r>
        <w:rPr>
          <w:color w:val="231F20"/>
        </w:rPr>
        <w:t>trial</w:t>
      </w:r>
      <w:r w:rsidRPr="00130C4A">
        <w:rPr>
          <w:color w:val="231F20"/>
        </w:rPr>
        <w:t xml:space="preserve"> </w:t>
      </w:r>
      <w:r>
        <w:rPr>
          <w:color w:val="231F20"/>
        </w:rPr>
        <w:t>as</w:t>
      </w:r>
      <w:r w:rsidRPr="00130C4A">
        <w:rPr>
          <w:color w:val="231F20"/>
        </w:rPr>
        <w:t xml:space="preserve"> </w:t>
      </w:r>
      <w:r>
        <w:rPr>
          <w:color w:val="231F20"/>
        </w:rPr>
        <w:t>to</w:t>
      </w:r>
      <w:r w:rsidRPr="00130C4A">
        <w:rPr>
          <w:color w:val="231F20"/>
        </w:rPr>
        <w:t xml:space="preserve"> </w:t>
      </w:r>
      <w:r>
        <w:rPr>
          <w:color w:val="231F20"/>
        </w:rPr>
        <w:t>the</w:t>
      </w:r>
      <w:r w:rsidRPr="00130C4A">
        <w:rPr>
          <w:color w:val="231F20"/>
        </w:rPr>
        <w:t xml:space="preserve"> </w:t>
      </w:r>
      <w:r>
        <w:rPr>
          <w:color w:val="231F20"/>
        </w:rPr>
        <w:t>factual</w:t>
      </w:r>
      <w:r w:rsidRPr="00130C4A">
        <w:rPr>
          <w:color w:val="231F20"/>
        </w:rPr>
        <w:t xml:space="preserve"> </w:t>
      </w:r>
      <w:r>
        <w:rPr>
          <w:color w:val="231F20"/>
        </w:rPr>
        <w:t>issues,</w:t>
      </w:r>
      <w:r w:rsidRPr="00130C4A">
        <w:rPr>
          <w:color w:val="231F20"/>
        </w:rPr>
        <w:t xml:space="preserve"> </w:t>
      </w:r>
      <w:r>
        <w:rPr>
          <w:color w:val="231F20"/>
        </w:rPr>
        <w:t>such</w:t>
      </w:r>
      <w:r w:rsidRPr="00130C4A">
        <w:rPr>
          <w:color w:val="231F20"/>
        </w:rPr>
        <w:t xml:space="preserve"> </w:t>
      </w:r>
      <w:r>
        <w:rPr>
          <w:color w:val="231F20"/>
        </w:rPr>
        <w:t>would</w:t>
      </w:r>
      <w:r w:rsidRPr="00130C4A">
        <w:rPr>
          <w:color w:val="231F20"/>
        </w:rPr>
        <w:t xml:space="preserve"> </w:t>
      </w:r>
      <w:r>
        <w:rPr>
          <w:color w:val="231F20"/>
        </w:rPr>
        <w:t>have</w:t>
      </w:r>
      <w:r w:rsidRPr="00130C4A">
        <w:rPr>
          <w:color w:val="231F20"/>
        </w:rPr>
        <w:t xml:space="preserve"> </w:t>
      </w:r>
      <w:r>
        <w:rPr>
          <w:color w:val="231F20"/>
        </w:rPr>
        <w:t>been</w:t>
      </w:r>
      <w:r w:rsidRPr="00130C4A">
        <w:rPr>
          <w:color w:val="231F20"/>
        </w:rPr>
        <w:t xml:space="preserve"> </w:t>
      </w:r>
      <w:r>
        <w:rPr>
          <w:color w:val="231F20"/>
        </w:rPr>
        <w:t>granted.</w:t>
      </w:r>
    </w:p>
    <w:p w14:paraId="419D4EA4" w14:textId="77777777" w:rsidR="009910CD" w:rsidRDefault="00FC2690" w:rsidP="00EB4AD6">
      <w:pPr>
        <w:pStyle w:val="Heading4"/>
        <w:numPr>
          <w:ilvl w:val="1"/>
          <w:numId w:val="25"/>
        </w:numPr>
        <w:tabs>
          <w:tab w:val="left" w:pos="1530"/>
        </w:tabs>
        <w:spacing w:before="78"/>
        <w:ind w:hanging="1248"/>
        <w:jc w:val="both"/>
      </w:pPr>
      <w:r>
        <w:rPr>
          <w:color w:val="231F20"/>
        </w:rPr>
        <w:t>Hybrids</w:t>
      </w:r>
    </w:p>
    <w:p w14:paraId="4ADEC90A" w14:textId="77777777" w:rsidR="009910CD" w:rsidRPr="004D5DFC" w:rsidRDefault="00FC2690" w:rsidP="00451169">
      <w:pPr>
        <w:spacing w:before="125"/>
        <w:ind w:left="720"/>
      </w:pPr>
      <w:r>
        <w:rPr>
          <w:color w:val="231F20"/>
        </w:rPr>
        <w:t>2014—</w:t>
      </w:r>
      <w:r>
        <w:rPr>
          <w:i/>
          <w:color w:val="231F20"/>
        </w:rPr>
        <w:t>Robertson v.</w:t>
      </w:r>
      <w:r w:rsidR="00B64C57">
        <w:rPr>
          <w:i/>
          <w:color w:val="231F20"/>
        </w:rPr>
        <w:t xml:space="preserve"> </w:t>
      </w:r>
      <w:r>
        <w:rPr>
          <w:i/>
          <w:color w:val="231F20"/>
        </w:rPr>
        <w:t>Western Virginia Water Authority</w:t>
      </w:r>
      <w:r>
        <w:rPr>
          <w:color w:val="231F20"/>
        </w:rPr>
        <w:t>, 287 Va.</w:t>
      </w:r>
      <w:r w:rsidR="00B64C57">
        <w:rPr>
          <w:color w:val="231F20"/>
        </w:rPr>
        <w:t xml:space="preserve"> </w:t>
      </w:r>
      <w:r>
        <w:rPr>
          <w:color w:val="231F20"/>
        </w:rPr>
        <w:t>158,</w:t>
      </w:r>
      <w:r w:rsidR="00B64C57">
        <w:rPr>
          <w:color w:val="231F20"/>
        </w:rPr>
        <w:t xml:space="preserve"> </w:t>
      </w:r>
      <w:r>
        <w:rPr>
          <w:color w:val="231F20"/>
        </w:rPr>
        <w:t>752</w:t>
      </w:r>
      <w:r w:rsidR="00451169">
        <w:rPr>
          <w:color w:val="231F20"/>
        </w:rPr>
        <w:t xml:space="preserve"> S.E.2d 875.</w:t>
      </w:r>
    </w:p>
    <w:p w14:paraId="5FD35ED8" w14:textId="77777777" w:rsidR="009910CD" w:rsidRDefault="00FC2690" w:rsidP="00E84432">
      <w:pPr>
        <w:pStyle w:val="BodyText"/>
        <w:spacing w:before="120" w:after="120"/>
        <w:ind w:left="1440"/>
        <w:jc w:val="both"/>
        <w:rPr>
          <w:color w:val="231F20"/>
        </w:rPr>
      </w:pPr>
      <w:r>
        <w:rPr>
          <w:color w:val="231F20"/>
        </w:rPr>
        <w:t>Sewer line burst causing collapse of</w:t>
      </w:r>
      <w:r w:rsidR="00103F1A">
        <w:rPr>
          <w:color w:val="231F20"/>
        </w:rPr>
        <w:t xml:space="preserve"> 10-foot retaining wall. Opera</w:t>
      </w:r>
      <w:r>
        <w:rPr>
          <w:color w:val="231F20"/>
        </w:rPr>
        <w:t>tion of the sewer system is not a governmental function but is proprietary and therefore no</w:t>
      </w:r>
      <w:r w:rsidRPr="00130C4A">
        <w:rPr>
          <w:color w:val="231F20"/>
        </w:rPr>
        <w:t xml:space="preserve"> </w:t>
      </w:r>
      <w:r>
        <w:rPr>
          <w:color w:val="231F20"/>
        </w:rPr>
        <w:t>immunity.</w:t>
      </w:r>
    </w:p>
    <w:p w14:paraId="4AEA78FB" w14:textId="77777777" w:rsidR="00EE56E8" w:rsidRPr="00324C7E" w:rsidRDefault="00EE56E8"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2.07</w:t>
      </w:r>
      <w:r>
        <w:rPr>
          <w:color w:val="231F20"/>
        </w:rPr>
        <w:tab/>
        <w:t>Last Clear Chance</w:t>
      </w:r>
    </w:p>
    <w:p w14:paraId="20302055" w14:textId="77777777" w:rsidR="00EE56E8" w:rsidRPr="00130C4A" w:rsidRDefault="00EE56E8" w:rsidP="00AF062B">
      <w:pPr>
        <w:pStyle w:val="ListParagraph"/>
        <w:numPr>
          <w:ilvl w:val="0"/>
          <w:numId w:val="41"/>
        </w:numPr>
        <w:tabs>
          <w:tab w:val="left" w:pos="2070"/>
        </w:tabs>
        <w:spacing w:before="48"/>
        <w:ind w:left="1170" w:hanging="450"/>
        <w:rPr>
          <w:b/>
          <w:sz w:val="20"/>
        </w:rPr>
      </w:pPr>
      <w:r w:rsidRPr="00130C4A">
        <w:rPr>
          <w:b/>
          <w:color w:val="231F20"/>
          <w:sz w:val="20"/>
        </w:rPr>
        <w:t>Opportunity to Avoid Injury</w:t>
      </w:r>
    </w:p>
    <w:p w14:paraId="71552CF9" w14:textId="77777777" w:rsidR="00783B1A" w:rsidRDefault="00783B1A" w:rsidP="00451169">
      <w:pPr>
        <w:spacing w:before="135"/>
        <w:ind w:left="720"/>
      </w:pPr>
      <w:r w:rsidRPr="00783B1A">
        <w:rPr>
          <w:color w:val="231F20"/>
        </w:rPr>
        <w:t>201</w:t>
      </w:r>
      <w:r w:rsidR="003F29B7">
        <w:rPr>
          <w:color w:val="231F20"/>
        </w:rPr>
        <w:t>7</w:t>
      </w:r>
      <w:r w:rsidRPr="00783B1A">
        <w:rPr>
          <w:color w:val="231F20"/>
        </w:rPr>
        <w:t>—</w:t>
      </w:r>
      <w:r w:rsidR="003F29B7">
        <w:rPr>
          <w:i/>
          <w:color w:val="231F20"/>
        </w:rPr>
        <w:t>Coutlakis</w:t>
      </w:r>
      <w:r w:rsidRPr="00783B1A">
        <w:rPr>
          <w:i/>
          <w:color w:val="231F20"/>
        </w:rPr>
        <w:t xml:space="preserve"> v. </w:t>
      </w:r>
      <w:r w:rsidR="003F29B7">
        <w:rPr>
          <w:i/>
          <w:color w:val="231F20"/>
        </w:rPr>
        <w:t>CSX Transportation, Inc.</w:t>
      </w:r>
      <w:r w:rsidRPr="00783B1A">
        <w:rPr>
          <w:color w:val="231F20"/>
        </w:rPr>
        <w:t xml:space="preserve">, </w:t>
      </w:r>
      <w:r w:rsidR="003F29B7">
        <w:rPr>
          <w:color w:val="231F20"/>
        </w:rPr>
        <w:t>293</w:t>
      </w:r>
      <w:r w:rsidRPr="00783B1A">
        <w:rPr>
          <w:color w:val="231F20"/>
        </w:rPr>
        <w:t xml:space="preserve"> Va. </w:t>
      </w:r>
      <w:r w:rsidR="003F29B7">
        <w:rPr>
          <w:color w:val="231F20"/>
        </w:rPr>
        <w:t>212</w:t>
      </w:r>
      <w:r w:rsidRPr="00783B1A">
        <w:rPr>
          <w:color w:val="231F20"/>
        </w:rPr>
        <w:t>, 7</w:t>
      </w:r>
      <w:r w:rsidR="003F29B7">
        <w:rPr>
          <w:color w:val="231F20"/>
        </w:rPr>
        <w:t>96</w:t>
      </w:r>
      <w:r w:rsidRPr="00783B1A">
        <w:rPr>
          <w:color w:val="231F20"/>
        </w:rPr>
        <w:t xml:space="preserve"> S.E.2d </w:t>
      </w:r>
      <w:r w:rsidR="003F29B7">
        <w:rPr>
          <w:color w:val="231F20"/>
        </w:rPr>
        <w:t>556</w:t>
      </w:r>
      <w:r w:rsidRPr="00783B1A">
        <w:rPr>
          <w:color w:val="231F20"/>
        </w:rPr>
        <w:t>.</w:t>
      </w:r>
    </w:p>
    <w:p w14:paraId="6BAB5353" w14:textId="77777777" w:rsidR="00783B1A" w:rsidRPr="003437E7" w:rsidRDefault="003F29B7" w:rsidP="00E84432">
      <w:pPr>
        <w:pStyle w:val="BodyText"/>
        <w:spacing w:before="120" w:after="120"/>
        <w:ind w:left="1440"/>
        <w:jc w:val="both"/>
        <w:rPr>
          <w:color w:val="231F20"/>
        </w:rPr>
      </w:pPr>
      <w:r>
        <w:rPr>
          <w:color w:val="231F20"/>
        </w:rPr>
        <w:t>Decedent walking adjacent to railroad tracks.  Decedent apparently was unconscious of his peril.  Defendant is liable only if he saw plaintiff and realized or ought to have realized his peril in time to avoid the collision using reasonable care.  In this instance the Amended Complaint was sufficient to state facts for application of last clear chance and therefore Demurrer was improperly granted.</w:t>
      </w:r>
    </w:p>
    <w:p w14:paraId="4C332514" w14:textId="77777777" w:rsidR="00330E33" w:rsidRDefault="00330E33">
      <w:pPr>
        <w:rPr>
          <w:b/>
          <w:bCs/>
          <w:color w:val="231F20"/>
        </w:rPr>
      </w:pPr>
      <w:r>
        <w:rPr>
          <w:color w:val="231F20"/>
        </w:rPr>
        <w:br w:type="page"/>
      </w:r>
    </w:p>
    <w:p w14:paraId="26A8958F" w14:textId="264550A2" w:rsidR="009910CD" w:rsidRPr="00324C7E" w:rsidRDefault="00FC2690" w:rsidP="00324C7E">
      <w:pPr>
        <w:pStyle w:val="Heading4"/>
        <w:tabs>
          <w:tab w:val="left" w:pos="720"/>
        </w:tabs>
        <w:spacing w:before="0" w:line="241" w:lineRule="exact"/>
        <w:ind w:left="0"/>
        <w:rPr>
          <w:color w:val="231F20"/>
        </w:rPr>
      </w:pPr>
      <w:r>
        <w:rPr>
          <w:color w:val="231F20"/>
        </w:rPr>
        <w:lastRenderedPageBreak/>
        <w:t>§</w:t>
      </w:r>
      <w:r w:rsidRPr="00324C7E">
        <w:rPr>
          <w:color w:val="231F20"/>
        </w:rPr>
        <w:t xml:space="preserve"> </w:t>
      </w:r>
      <w:r>
        <w:rPr>
          <w:color w:val="231F20"/>
        </w:rPr>
        <w:t>2.08</w:t>
      </w:r>
      <w:r>
        <w:rPr>
          <w:color w:val="231F20"/>
        </w:rPr>
        <w:tab/>
        <w:t>Release</w:t>
      </w:r>
    </w:p>
    <w:p w14:paraId="2C7E52E9" w14:textId="77777777" w:rsidR="009910CD" w:rsidRDefault="00FC2690" w:rsidP="00451169">
      <w:pPr>
        <w:spacing w:before="135"/>
        <w:ind w:left="720"/>
      </w:pPr>
      <w:r>
        <w:rPr>
          <w:color w:val="231F20"/>
        </w:rPr>
        <w:t>2012—</w:t>
      </w:r>
      <w:r>
        <w:rPr>
          <w:i/>
          <w:color w:val="231F20"/>
        </w:rPr>
        <w:t>Askew v.</w:t>
      </w:r>
      <w:r w:rsidR="00B64C57">
        <w:rPr>
          <w:i/>
          <w:color w:val="231F20"/>
        </w:rPr>
        <w:t xml:space="preserve"> </w:t>
      </w:r>
      <w:r>
        <w:rPr>
          <w:i/>
          <w:color w:val="231F20"/>
        </w:rPr>
        <w:t>Collins</w:t>
      </w:r>
      <w:r>
        <w:rPr>
          <w:color w:val="231F20"/>
        </w:rPr>
        <w:t>, 283 Va.</w:t>
      </w:r>
      <w:r w:rsidR="00B64C57">
        <w:rPr>
          <w:color w:val="231F20"/>
        </w:rPr>
        <w:t xml:space="preserve"> </w:t>
      </w:r>
      <w:r>
        <w:rPr>
          <w:color w:val="231F20"/>
        </w:rPr>
        <w:t>482, 722 S.E.2d</w:t>
      </w:r>
      <w:r w:rsidR="00B64C57">
        <w:rPr>
          <w:color w:val="231F20"/>
        </w:rPr>
        <w:t xml:space="preserve"> </w:t>
      </w:r>
      <w:r>
        <w:rPr>
          <w:color w:val="231F20"/>
        </w:rPr>
        <w:t>249.</w:t>
      </w:r>
    </w:p>
    <w:p w14:paraId="053F84D2" w14:textId="77777777" w:rsidR="009910CD" w:rsidRPr="00130C4A" w:rsidRDefault="00FC2690" w:rsidP="00E84432">
      <w:pPr>
        <w:pStyle w:val="BodyText"/>
        <w:spacing w:before="120" w:after="120"/>
        <w:ind w:left="1440"/>
        <w:jc w:val="both"/>
        <w:rPr>
          <w:color w:val="231F20"/>
        </w:rPr>
      </w:pPr>
      <w:r>
        <w:rPr>
          <w:color w:val="231F20"/>
        </w:rPr>
        <w:t>Defendant sought application of Code Section 8.01-35.1 on</w:t>
      </w:r>
      <w:r w:rsidRPr="00130C4A">
        <w:rPr>
          <w:color w:val="231F20"/>
        </w:rPr>
        <w:t xml:space="preserve"> </w:t>
      </w:r>
      <w:r>
        <w:rPr>
          <w:color w:val="231F20"/>
        </w:rPr>
        <w:t>grounds that injury suffered by plaintiff from defamatory statement made by defendant was the same injury suffered by plaintiff from</w:t>
      </w:r>
      <w:r w:rsidRPr="00130C4A">
        <w:rPr>
          <w:color w:val="231F20"/>
        </w:rPr>
        <w:t xml:space="preserve"> </w:t>
      </w:r>
      <w:r>
        <w:rPr>
          <w:color w:val="231F20"/>
        </w:rPr>
        <w:t>subsequent publication</w:t>
      </w:r>
      <w:r w:rsidRPr="00130C4A">
        <w:rPr>
          <w:color w:val="231F20"/>
        </w:rPr>
        <w:t xml:space="preserve"> </w:t>
      </w:r>
      <w:r>
        <w:rPr>
          <w:color w:val="231F20"/>
        </w:rPr>
        <w:t>of</w:t>
      </w:r>
      <w:r w:rsidRPr="00130C4A">
        <w:rPr>
          <w:color w:val="231F20"/>
        </w:rPr>
        <w:t xml:space="preserve"> </w:t>
      </w:r>
      <w:r>
        <w:rPr>
          <w:color w:val="231F20"/>
        </w:rPr>
        <w:t>newspaper</w:t>
      </w:r>
      <w:r w:rsidRPr="00130C4A">
        <w:rPr>
          <w:color w:val="231F20"/>
        </w:rPr>
        <w:t xml:space="preserve"> </w:t>
      </w:r>
      <w:r>
        <w:rPr>
          <w:color w:val="231F20"/>
        </w:rPr>
        <w:t>article.</w:t>
      </w:r>
      <w:r w:rsidRPr="00130C4A">
        <w:rPr>
          <w:color w:val="231F20"/>
        </w:rPr>
        <w:t xml:space="preserve"> </w:t>
      </w:r>
      <w:r>
        <w:rPr>
          <w:color w:val="231F20"/>
        </w:rPr>
        <w:t>In</w:t>
      </w:r>
      <w:r w:rsidRPr="00130C4A">
        <w:rPr>
          <w:color w:val="231F20"/>
        </w:rPr>
        <w:t xml:space="preserve"> </w:t>
      </w:r>
      <w:r>
        <w:rPr>
          <w:color w:val="231F20"/>
        </w:rPr>
        <w:t>fact,</w:t>
      </w:r>
      <w:r w:rsidRPr="00130C4A">
        <w:rPr>
          <w:color w:val="231F20"/>
        </w:rPr>
        <w:t xml:space="preserve"> </w:t>
      </w:r>
      <w:r>
        <w:rPr>
          <w:color w:val="231F20"/>
        </w:rPr>
        <w:t>there</w:t>
      </w:r>
      <w:r w:rsidRPr="00130C4A">
        <w:rPr>
          <w:color w:val="231F20"/>
        </w:rPr>
        <w:t xml:space="preserve"> </w:t>
      </w:r>
      <w:r>
        <w:rPr>
          <w:color w:val="231F20"/>
        </w:rPr>
        <w:t>were</w:t>
      </w:r>
      <w:r w:rsidRPr="00130C4A">
        <w:rPr>
          <w:color w:val="231F20"/>
        </w:rPr>
        <w:t xml:space="preserve"> </w:t>
      </w:r>
      <w:r>
        <w:rPr>
          <w:color w:val="231F20"/>
        </w:rPr>
        <w:t>separate</w:t>
      </w:r>
      <w:r w:rsidRPr="00130C4A">
        <w:rPr>
          <w:color w:val="231F20"/>
        </w:rPr>
        <w:t xml:space="preserve"> </w:t>
      </w:r>
      <w:r>
        <w:rPr>
          <w:color w:val="231F20"/>
        </w:rPr>
        <w:t>injuries and therefore this Code Section does not</w:t>
      </w:r>
      <w:r w:rsidR="00B64C57">
        <w:rPr>
          <w:color w:val="231F20"/>
        </w:rPr>
        <w:t xml:space="preserve"> </w:t>
      </w:r>
      <w:r w:rsidRPr="00130C4A">
        <w:rPr>
          <w:color w:val="231F20"/>
        </w:rPr>
        <w:t>apply.</w:t>
      </w:r>
    </w:p>
    <w:p w14:paraId="70D72D66"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2.09</w:t>
      </w:r>
      <w:r>
        <w:rPr>
          <w:color w:val="231F20"/>
        </w:rPr>
        <w:tab/>
        <w:t>Sudden</w:t>
      </w:r>
      <w:r w:rsidRPr="00324C7E">
        <w:rPr>
          <w:color w:val="231F20"/>
        </w:rPr>
        <w:t xml:space="preserve"> </w:t>
      </w:r>
      <w:r>
        <w:rPr>
          <w:color w:val="231F20"/>
        </w:rPr>
        <w:t>Emergency</w:t>
      </w:r>
    </w:p>
    <w:p w14:paraId="09F59C57" w14:textId="13A37A41" w:rsidR="009910CD" w:rsidRDefault="00FC2690" w:rsidP="00451169">
      <w:pPr>
        <w:spacing w:before="126"/>
        <w:ind w:left="720"/>
      </w:pPr>
      <w:r>
        <w:rPr>
          <w:color w:val="231F20"/>
        </w:rPr>
        <w:t>20</w:t>
      </w:r>
      <w:r w:rsidR="00833C55">
        <w:rPr>
          <w:color w:val="231F20"/>
        </w:rPr>
        <w:t>24</w:t>
      </w:r>
      <w:r>
        <w:rPr>
          <w:color w:val="231F20"/>
        </w:rPr>
        <w:t>—</w:t>
      </w:r>
      <w:r w:rsidR="00833C55">
        <w:rPr>
          <w:i/>
          <w:color w:val="231F20"/>
        </w:rPr>
        <w:t>Boyette</w:t>
      </w:r>
      <w:r>
        <w:rPr>
          <w:i/>
          <w:color w:val="231F20"/>
        </w:rPr>
        <w:t xml:space="preserve"> v.</w:t>
      </w:r>
      <w:r w:rsidR="00B64C57">
        <w:rPr>
          <w:i/>
          <w:color w:val="231F20"/>
        </w:rPr>
        <w:t xml:space="preserve"> </w:t>
      </w:r>
      <w:r w:rsidR="00833C55">
        <w:rPr>
          <w:i/>
          <w:color w:val="231F20"/>
        </w:rPr>
        <w:t>Sprouse</w:t>
      </w:r>
      <w:r>
        <w:rPr>
          <w:color w:val="231F20"/>
        </w:rPr>
        <w:t xml:space="preserve">, </w:t>
      </w:r>
      <w:r w:rsidR="00833C55">
        <w:rPr>
          <w:color w:val="231F20"/>
        </w:rPr>
        <w:t>79</w:t>
      </w:r>
      <w:r>
        <w:rPr>
          <w:color w:val="231F20"/>
        </w:rPr>
        <w:t xml:space="preserve"> Va.</w:t>
      </w:r>
      <w:r w:rsidR="00B64C57">
        <w:rPr>
          <w:color w:val="231F20"/>
        </w:rPr>
        <w:t xml:space="preserve"> </w:t>
      </w:r>
      <w:r w:rsidR="00833C55">
        <w:rPr>
          <w:color w:val="231F20"/>
        </w:rPr>
        <w:t>App. 558</w:t>
      </w:r>
      <w:r>
        <w:rPr>
          <w:color w:val="231F20"/>
        </w:rPr>
        <w:t xml:space="preserve">, </w:t>
      </w:r>
      <w:r w:rsidR="00833C55">
        <w:rPr>
          <w:color w:val="231F20"/>
        </w:rPr>
        <w:t>896</w:t>
      </w:r>
      <w:r>
        <w:rPr>
          <w:color w:val="231F20"/>
        </w:rPr>
        <w:t xml:space="preserve"> S.E.2d</w:t>
      </w:r>
      <w:r w:rsidR="00B64C57">
        <w:rPr>
          <w:color w:val="231F20"/>
        </w:rPr>
        <w:t xml:space="preserve"> </w:t>
      </w:r>
      <w:r w:rsidR="00833C55">
        <w:rPr>
          <w:color w:val="231F20"/>
        </w:rPr>
        <w:t>435</w:t>
      </w:r>
      <w:r>
        <w:rPr>
          <w:color w:val="231F20"/>
        </w:rPr>
        <w:t>.</w:t>
      </w:r>
    </w:p>
    <w:p w14:paraId="2E7B79DE" w14:textId="3666CBFE" w:rsidR="009910CD" w:rsidRDefault="00103700" w:rsidP="00E84432">
      <w:pPr>
        <w:pStyle w:val="BodyText"/>
        <w:spacing w:before="120" w:after="120"/>
        <w:ind w:left="1440"/>
        <w:jc w:val="both"/>
        <w:rPr>
          <w:color w:val="231F20"/>
        </w:rPr>
      </w:pPr>
      <w:r>
        <w:rPr>
          <w:color w:val="231F20"/>
        </w:rPr>
        <w:t xml:space="preserve">Plaintiff was in lead vehicle that stopped suddenly as a result of hitting a dog in the roadway. Lead vehicle was then struck by defendant’s vehicle. Passenger in lead vehicle sued striking vehicle’s owner. Sudden emergency instruction was properly given. </w:t>
      </w:r>
    </w:p>
    <w:p w14:paraId="063648CE" w14:textId="77777777" w:rsidR="00833C55" w:rsidRDefault="00833C55" w:rsidP="00833C55">
      <w:pPr>
        <w:spacing w:before="126"/>
        <w:ind w:left="720"/>
      </w:pPr>
      <w:r>
        <w:rPr>
          <w:color w:val="231F20"/>
        </w:rPr>
        <w:t>2009—</w:t>
      </w:r>
      <w:r>
        <w:rPr>
          <w:i/>
          <w:color w:val="231F20"/>
        </w:rPr>
        <w:t>Hancock-Underwood v. Knight</w:t>
      </w:r>
      <w:r>
        <w:rPr>
          <w:color w:val="231F20"/>
        </w:rPr>
        <w:t>, 277 Va. 127, 670 S.E.2d 720.</w:t>
      </w:r>
    </w:p>
    <w:p w14:paraId="6B93B3DE" w14:textId="77777777" w:rsidR="00833C55" w:rsidRPr="00130C4A" w:rsidRDefault="00833C55" w:rsidP="00833C55">
      <w:pPr>
        <w:pStyle w:val="BodyText"/>
        <w:spacing w:before="120" w:after="120"/>
        <w:ind w:left="1440"/>
        <w:jc w:val="both"/>
        <w:rPr>
          <w:color w:val="231F20"/>
        </w:rPr>
      </w:pPr>
      <w:r>
        <w:rPr>
          <w:color w:val="231F20"/>
        </w:rPr>
        <w:t>Driver of van had complaint of a severe headache immediately before he slumped over the wheel leading to the accident. Neurological expert confirmed that he had a brain bleed. This set of facts did not support sudden emergency instruction.</w:t>
      </w:r>
    </w:p>
    <w:p w14:paraId="51FEFF55" w14:textId="77777777" w:rsidR="009910CD" w:rsidRPr="00324C7E" w:rsidRDefault="00FC2690" w:rsidP="00324C7E">
      <w:pPr>
        <w:pStyle w:val="Heading4"/>
        <w:tabs>
          <w:tab w:val="left" w:pos="720"/>
        </w:tabs>
        <w:spacing w:before="0" w:line="241" w:lineRule="exact"/>
        <w:ind w:left="0"/>
        <w:rPr>
          <w:color w:val="231F20"/>
        </w:rPr>
      </w:pPr>
      <w:r>
        <w:rPr>
          <w:color w:val="231F20"/>
        </w:rPr>
        <w:t>§</w:t>
      </w:r>
      <w:r w:rsidRPr="00324C7E">
        <w:rPr>
          <w:color w:val="231F20"/>
        </w:rPr>
        <w:t xml:space="preserve"> </w:t>
      </w:r>
      <w:r>
        <w:rPr>
          <w:color w:val="231F20"/>
        </w:rPr>
        <w:t>2.10</w:t>
      </w:r>
      <w:r>
        <w:rPr>
          <w:color w:val="231F20"/>
        </w:rPr>
        <w:tab/>
        <w:t>Unavoidable</w:t>
      </w:r>
      <w:r w:rsidRPr="00324C7E">
        <w:rPr>
          <w:color w:val="231F20"/>
        </w:rPr>
        <w:t xml:space="preserve"> </w:t>
      </w:r>
      <w:r>
        <w:rPr>
          <w:color w:val="231F20"/>
        </w:rPr>
        <w:t>Accident</w:t>
      </w:r>
    </w:p>
    <w:p w14:paraId="3E9636DF" w14:textId="77777777" w:rsidR="009910CD" w:rsidRDefault="00FC2690" w:rsidP="00451169">
      <w:pPr>
        <w:spacing w:before="125"/>
        <w:ind w:left="720"/>
      </w:pPr>
      <w:r>
        <w:rPr>
          <w:color w:val="231F20"/>
        </w:rPr>
        <w:t>2009—</w:t>
      </w:r>
      <w:r>
        <w:rPr>
          <w:i/>
          <w:color w:val="231F20"/>
        </w:rPr>
        <w:t>Hancock-Underwood v.</w:t>
      </w:r>
      <w:r w:rsidR="00B64C57">
        <w:rPr>
          <w:i/>
          <w:color w:val="231F20"/>
        </w:rPr>
        <w:t xml:space="preserve"> </w:t>
      </w:r>
      <w:r>
        <w:rPr>
          <w:i/>
          <w:color w:val="231F20"/>
        </w:rPr>
        <w:t>Knight</w:t>
      </w:r>
      <w:r>
        <w:rPr>
          <w:color w:val="231F20"/>
        </w:rPr>
        <w:t>, 277 Va.</w:t>
      </w:r>
      <w:r w:rsidR="00B64C57">
        <w:rPr>
          <w:color w:val="231F20"/>
        </w:rPr>
        <w:t xml:space="preserve"> </w:t>
      </w:r>
      <w:r>
        <w:rPr>
          <w:color w:val="231F20"/>
        </w:rPr>
        <w:t>127, 670 S.E.2d</w:t>
      </w:r>
      <w:r w:rsidR="00B64C57">
        <w:rPr>
          <w:color w:val="231F20"/>
        </w:rPr>
        <w:t xml:space="preserve"> </w:t>
      </w:r>
      <w:r>
        <w:rPr>
          <w:color w:val="231F20"/>
        </w:rPr>
        <w:t>720.</w:t>
      </w:r>
    </w:p>
    <w:p w14:paraId="6C8D2633" w14:textId="796557CA" w:rsidR="000E25FE" w:rsidRPr="00330E33" w:rsidRDefault="00FC2690" w:rsidP="00330E33">
      <w:pPr>
        <w:pStyle w:val="BodyText"/>
        <w:spacing w:before="120" w:after="120"/>
        <w:ind w:left="1440"/>
        <w:jc w:val="both"/>
        <w:rPr>
          <w:color w:val="231F20"/>
        </w:rPr>
      </w:pPr>
      <w:r>
        <w:rPr>
          <w:color w:val="231F20"/>
        </w:rPr>
        <w:t>Supreme Court declares that it is error to grant an unavoidable accident instruction.</w:t>
      </w:r>
    </w:p>
    <w:p w14:paraId="2C38FE80" w14:textId="0C6A7EBF"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2.11</w:t>
      </w:r>
      <w:r w:rsidRPr="00ED1338">
        <w:rPr>
          <w:color w:val="231F20"/>
        </w:rPr>
        <w:tab/>
      </w:r>
      <w:r>
        <w:rPr>
          <w:color w:val="231F20"/>
        </w:rPr>
        <w:t>Waiver</w:t>
      </w:r>
    </w:p>
    <w:p w14:paraId="2188347E" w14:textId="77777777" w:rsidR="009910CD" w:rsidRDefault="00FC2690" w:rsidP="00451169">
      <w:pPr>
        <w:spacing w:before="139" w:line="240" w:lineRule="exact"/>
        <w:ind w:left="720" w:right="821"/>
      </w:pPr>
      <w:r>
        <w:rPr>
          <w:color w:val="231F20"/>
        </w:rPr>
        <w:t>2010—</w:t>
      </w:r>
      <w:r>
        <w:rPr>
          <w:i/>
          <w:color w:val="231F20"/>
        </w:rPr>
        <w:t>Heinrich Schepers GMBH &amp; Co. v. Whitaker</w:t>
      </w:r>
      <w:r>
        <w:rPr>
          <w:color w:val="231F20"/>
        </w:rPr>
        <w:t>, 280 Va. 507, 702 S.E.2d 573.</w:t>
      </w:r>
    </w:p>
    <w:p w14:paraId="01527DE6" w14:textId="77777777" w:rsidR="009910CD" w:rsidRPr="00130C4A" w:rsidRDefault="00FC2690" w:rsidP="00E84432">
      <w:pPr>
        <w:pStyle w:val="BodyText"/>
        <w:spacing w:before="120" w:after="120"/>
        <w:ind w:left="1440"/>
        <w:jc w:val="both"/>
        <w:rPr>
          <w:color w:val="231F20"/>
        </w:rPr>
      </w:pPr>
      <w:r>
        <w:rPr>
          <w:color w:val="231F20"/>
        </w:rPr>
        <w:t>Waiver is voluntary and intentional abandonment of a known legal right, advantage or privilege. In this instance, the plaintiff’s waiver of a jury trial was limited to the first trial and did not apply to the retrial</w:t>
      </w:r>
      <w:r w:rsidR="004D5DFC">
        <w:rPr>
          <w:color w:val="231F20"/>
        </w:rPr>
        <w:t>.</w:t>
      </w:r>
    </w:p>
    <w:p w14:paraId="54B495E7" w14:textId="77777777" w:rsidR="009910CD" w:rsidRDefault="009910CD">
      <w:pPr>
        <w:pStyle w:val="BodyText"/>
        <w:rPr>
          <w:sz w:val="20"/>
        </w:rPr>
      </w:pPr>
    </w:p>
    <w:p w14:paraId="2EE7A559" w14:textId="77777777" w:rsidR="002867D9" w:rsidRDefault="00D4105A" w:rsidP="002867D9">
      <w:pPr>
        <w:spacing w:before="34" w:line="321" w:lineRule="auto"/>
        <w:ind w:hanging="12"/>
        <w:jc w:val="center"/>
        <w:rPr>
          <w:b/>
          <w:color w:val="231F20"/>
          <w:sz w:val="40"/>
        </w:rPr>
      </w:pPr>
      <w:r>
        <w:rPr>
          <w:b/>
          <w:color w:val="231F20"/>
          <w:sz w:val="40"/>
        </w:rPr>
        <w:br w:type="column"/>
      </w:r>
      <w:r w:rsidR="004D5DFC">
        <w:rPr>
          <w:b/>
          <w:color w:val="231F20"/>
          <w:sz w:val="40"/>
        </w:rPr>
        <w:lastRenderedPageBreak/>
        <w:t>C</w:t>
      </w:r>
      <w:r w:rsidR="00FC2690">
        <w:rPr>
          <w:b/>
          <w:color w:val="231F20"/>
          <w:sz w:val="40"/>
        </w:rPr>
        <w:t xml:space="preserve">hapter 3 </w:t>
      </w:r>
    </w:p>
    <w:p w14:paraId="07BF11E4" w14:textId="77777777" w:rsidR="004D5DFC" w:rsidRDefault="00FC2690" w:rsidP="002867D9">
      <w:pPr>
        <w:spacing w:before="34" w:line="321" w:lineRule="auto"/>
        <w:ind w:hanging="12"/>
        <w:jc w:val="center"/>
        <w:rPr>
          <w:b/>
          <w:color w:val="231F20"/>
          <w:w w:val="95"/>
          <w:sz w:val="40"/>
        </w:rPr>
      </w:pPr>
      <w:r>
        <w:rPr>
          <w:b/>
          <w:color w:val="231F20"/>
          <w:w w:val="95"/>
          <w:sz w:val="40"/>
        </w:rPr>
        <w:t>VEHICLES</w:t>
      </w:r>
    </w:p>
    <w:p w14:paraId="481E010A" w14:textId="77777777" w:rsidR="00D95048" w:rsidRPr="00ED1338" w:rsidRDefault="00D95048"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3.07</w:t>
      </w:r>
      <w:r>
        <w:rPr>
          <w:color w:val="231F20"/>
        </w:rPr>
        <w:tab/>
        <w:t>Bicycle</w:t>
      </w:r>
    </w:p>
    <w:p w14:paraId="421AB2BA" w14:textId="77777777" w:rsidR="009910CD" w:rsidRDefault="00FC2690" w:rsidP="00451169">
      <w:pPr>
        <w:spacing w:before="34" w:line="321" w:lineRule="auto"/>
        <w:ind w:left="720" w:right="-1804" w:hanging="12"/>
      </w:pPr>
      <w:r>
        <w:rPr>
          <w:color w:val="231F20"/>
        </w:rPr>
        <w:t>2010—</w:t>
      </w:r>
      <w:r>
        <w:rPr>
          <w:i/>
          <w:color w:val="231F20"/>
        </w:rPr>
        <w:t>Rascher v.</w:t>
      </w:r>
      <w:r w:rsidR="00B64C57">
        <w:rPr>
          <w:i/>
          <w:color w:val="231F20"/>
        </w:rPr>
        <w:t xml:space="preserve"> </w:t>
      </w:r>
      <w:r>
        <w:rPr>
          <w:i/>
          <w:color w:val="231F20"/>
        </w:rPr>
        <w:t>Friend</w:t>
      </w:r>
      <w:r>
        <w:rPr>
          <w:color w:val="231F20"/>
        </w:rPr>
        <w:t>, 279 Va.</w:t>
      </w:r>
      <w:r w:rsidR="00B64C57">
        <w:rPr>
          <w:color w:val="231F20"/>
        </w:rPr>
        <w:t xml:space="preserve"> </w:t>
      </w:r>
      <w:r>
        <w:rPr>
          <w:color w:val="231F20"/>
        </w:rPr>
        <w:t>370, 689 S.E.2d</w:t>
      </w:r>
      <w:r w:rsidR="00B64C57">
        <w:rPr>
          <w:color w:val="231F20"/>
        </w:rPr>
        <w:t xml:space="preserve"> </w:t>
      </w:r>
      <w:r>
        <w:rPr>
          <w:color w:val="231F20"/>
        </w:rPr>
        <w:t>661.</w:t>
      </w:r>
    </w:p>
    <w:p w14:paraId="15475819" w14:textId="77777777" w:rsidR="009910CD" w:rsidRPr="004D5DFC" w:rsidRDefault="00FC2690" w:rsidP="00E84432">
      <w:pPr>
        <w:pStyle w:val="BodyText"/>
        <w:spacing w:before="120" w:after="120"/>
        <w:ind w:left="1440"/>
        <w:jc w:val="both"/>
        <w:rPr>
          <w:color w:val="231F20"/>
        </w:rPr>
      </w:pPr>
      <w:r>
        <w:rPr>
          <w:color w:val="231F20"/>
        </w:rPr>
        <w:t>Plaintiff was riding a bicycle on a residential two-lane road. As plaintiff</w:t>
      </w:r>
      <w:r w:rsidRPr="004D5DFC">
        <w:rPr>
          <w:color w:val="231F20"/>
        </w:rPr>
        <w:t xml:space="preserve"> </w:t>
      </w:r>
      <w:r>
        <w:rPr>
          <w:color w:val="231F20"/>
        </w:rPr>
        <w:t>approached</w:t>
      </w:r>
      <w:r w:rsidRPr="004D5DFC">
        <w:rPr>
          <w:color w:val="231F20"/>
        </w:rPr>
        <w:t xml:space="preserve"> </w:t>
      </w:r>
      <w:r>
        <w:rPr>
          <w:color w:val="231F20"/>
        </w:rPr>
        <w:t>intersection,</w:t>
      </w:r>
      <w:r w:rsidRPr="004D5DFC">
        <w:rPr>
          <w:color w:val="231F20"/>
        </w:rPr>
        <w:t xml:space="preserve"> </w:t>
      </w:r>
      <w:r>
        <w:rPr>
          <w:color w:val="231F20"/>
        </w:rPr>
        <w:t>oncoming</w:t>
      </w:r>
      <w:r w:rsidRPr="004D5DFC">
        <w:rPr>
          <w:color w:val="231F20"/>
        </w:rPr>
        <w:t xml:space="preserve"> </w:t>
      </w:r>
      <w:r>
        <w:rPr>
          <w:color w:val="231F20"/>
        </w:rPr>
        <w:t>vehicle</w:t>
      </w:r>
      <w:r w:rsidRPr="004D5DFC">
        <w:rPr>
          <w:color w:val="231F20"/>
        </w:rPr>
        <w:t xml:space="preserve"> </w:t>
      </w:r>
      <w:r>
        <w:rPr>
          <w:color w:val="231F20"/>
        </w:rPr>
        <w:t>made</w:t>
      </w:r>
      <w:r w:rsidRPr="004D5DFC">
        <w:rPr>
          <w:color w:val="231F20"/>
        </w:rPr>
        <w:t xml:space="preserve"> </w:t>
      </w:r>
      <w:r>
        <w:rPr>
          <w:color w:val="231F20"/>
        </w:rPr>
        <w:t>left</w:t>
      </w:r>
      <w:r w:rsidRPr="004D5DFC">
        <w:rPr>
          <w:color w:val="231F20"/>
        </w:rPr>
        <w:t xml:space="preserve"> </w:t>
      </w:r>
      <w:r>
        <w:rPr>
          <w:color w:val="231F20"/>
        </w:rPr>
        <w:t>turn</w:t>
      </w:r>
      <w:r w:rsidRPr="004D5DFC">
        <w:rPr>
          <w:color w:val="231F20"/>
        </w:rPr>
        <w:t xml:space="preserve"> </w:t>
      </w:r>
      <w:r>
        <w:rPr>
          <w:color w:val="231F20"/>
        </w:rPr>
        <w:t>in front of him. After collision, defendant admitted fault and</w:t>
      </w:r>
      <w:r w:rsidR="00B64C57">
        <w:rPr>
          <w:color w:val="231F20"/>
        </w:rPr>
        <w:t xml:space="preserve"> </w:t>
      </w:r>
      <w:r>
        <w:rPr>
          <w:color w:val="231F20"/>
        </w:rPr>
        <w:t>prepaid</w:t>
      </w:r>
      <w:r w:rsidR="004D5DFC">
        <w:rPr>
          <w:color w:val="231F20"/>
        </w:rPr>
        <w:t xml:space="preserve"> </w:t>
      </w:r>
      <w:r>
        <w:rPr>
          <w:color w:val="231F20"/>
        </w:rPr>
        <w:t xml:space="preserve">statutory fine for failing to yield right of </w:t>
      </w:r>
      <w:r w:rsidRPr="004D5DFC">
        <w:rPr>
          <w:color w:val="231F20"/>
        </w:rPr>
        <w:t xml:space="preserve">way. </w:t>
      </w:r>
      <w:r>
        <w:rPr>
          <w:color w:val="231F20"/>
        </w:rPr>
        <w:t>Trial court</w:t>
      </w:r>
      <w:r w:rsidRPr="004D5DFC">
        <w:rPr>
          <w:color w:val="231F20"/>
        </w:rPr>
        <w:t xml:space="preserve"> </w:t>
      </w:r>
      <w:r>
        <w:rPr>
          <w:color w:val="231F20"/>
        </w:rPr>
        <w:t>improperly struck plaintiff’s evidence on the</w:t>
      </w:r>
      <w:r w:rsidR="00F04502">
        <w:rPr>
          <w:color w:val="231F20"/>
        </w:rPr>
        <w:t xml:space="preserve"> grounds of contributory negli</w:t>
      </w:r>
      <w:r>
        <w:rPr>
          <w:color w:val="231F20"/>
        </w:rPr>
        <w:t>gence. The jury reasonably could have concluded that the plaintiff was</w:t>
      </w:r>
      <w:r w:rsidRPr="004D5DFC">
        <w:rPr>
          <w:color w:val="231F20"/>
        </w:rPr>
        <w:t xml:space="preserve"> </w:t>
      </w:r>
      <w:r>
        <w:rPr>
          <w:color w:val="231F20"/>
        </w:rPr>
        <w:t>not</w:t>
      </w:r>
      <w:r w:rsidRPr="004D5DFC">
        <w:rPr>
          <w:color w:val="231F20"/>
        </w:rPr>
        <w:t xml:space="preserve"> </w:t>
      </w:r>
      <w:r>
        <w:rPr>
          <w:color w:val="231F20"/>
        </w:rPr>
        <w:t>negligent</w:t>
      </w:r>
      <w:r w:rsidRPr="004D5DFC">
        <w:rPr>
          <w:color w:val="231F20"/>
        </w:rPr>
        <w:t xml:space="preserve"> or, </w:t>
      </w:r>
      <w:r>
        <w:rPr>
          <w:color w:val="231F20"/>
        </w:rPr>
        <w:t>in</w:t>
      </w:r>
      <w:r w:rsidRPr="004D5DFC">
        <w:rPr>
          <w:color w:val="231F20"/>
        </w:rPr>
        <w:t xml:space="preserve"> </w:t>
      </w:r>
      <w:r>
        <w:rPr>
          <w:color w:val="231F20"/>
        </w:rPr>
        <w:t>the</w:t>
      </w:r>
      <w:r w:rsidRPr="004D5DFC">
        <w:rPr>
          <w:color w:val="231F20"/>
        </w:rPr>
        <w:t xml:space="preserve"> </w:t>
      </w:r>
      <w:r>
        <w:rPr>
          <w:color w:val="231F20"/>
        </w:rPr>
        <w:t>alternative,</w:t>
      </w:r>
      <w:r w:rsidRPr="004D5DFC">
        <w:rPr>
          <w:color w:val="231F20"/>
        </w:rPr>
        <w:t xml:space="preserve"> </w:t>
      </w:r>
      <w:r>
        <w:rPr>
          <w:color w:val="231F20"/>
        </w:rPr>
        <w:t>that</w:t>
      </w:r>
      <w:r w:rsidRPr="004D5DFC">
        <w:rPr>
          <w:color w:val="231F20"/>
        </w:rPr>
        <w:t xml:space="preserve"> </w:t>
      </w:r>
      <w:r>
        <w:rPr>
          <w:color w:val="231F20"/>
        </w:rPr>
        <w:t>any</w:t>
      </w:r>
      <w:r w:rsidRPr="004D5DFC">
        <w:rPr>
          <w:color w:val="231F20"/>
        </w:rPr>
        <w:t xml:space="preserve"> </w:t>
      </w:r>
      <w:r>
        <w:rPr>
          <w:color w:val="231F20"/>
        </w:rPr>
        <w:t>such</w:t>
      </w:r>
      <w:r w:rsidRPr="004D5DFC">
        <w:rPr>
          <w:color w:val="231F20"/>
        </w:rPr>
        <w:t xml:space="preserve"> </w:t>
      </w:r>
      <w:r>
        <w:rPr>
          <w:color w:val="231F20"/>
        </w:rPr>
        <w:t>negligence</w:t>
      </w:r>
      <w:r w:rsidRPr="004D5DFC">
        <w:rPr>
          <w:color w:val="231F20"/>
        </w:rPr>
        <w:t xml:space="preserve"> </w:t>
      </w:r>
      <w:r>
        <w:rPr>
          <w:color w:val="231F20"/>
        </w:rPr>
        <w:t>was not a proximate cause of the</w:t>
      </w:r>
      <w:r w:rsidR="00B64C57">
        <w:rPr>
          <w:color w:val="231F20"/>
        </w:rPr>
        <w:t xml:space="preserve"> </w:t>
      </w:r>
      <w:r>
        <w:rPr>
          <w:color w:val="231F20"/>
        </w:rPr>
        <w:t>collision.</w:t>
      </w:r>
    </w:p>
    <w:p w14:paraId="6D0B7858"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3.71</w:t>
      </w:r>
      <w:r>
        <w:rPr>
          <w:color w:val="231F20"/>
        </w:rPr>
        <w:tab/>
        <w:t>Seatbelts</w:t>
      </w:r>
    </w:p>
    <w:p w14:paraId="6C14A9D3" w14:textId="77777777" w:rsidR="009910CD" w:rsidRDefault="00FC2690" w:rsidP="00451169">
      <w:pPr>
        <w:spacing w:before="136"/>
        <w:ind w:left="720"/>
      </w:pPr>
      <w:r>
        <w:rPr>
          <w:color w:val="231F20"/>
        </w:rPr>
        <w:t>2010—</w:t>
      </w:r>
      <w:r>
        <w:rPr>
          <w:i/>
          <w:color w:val="231F20"/>
        </w:rPr>
        <w:t>Evans v.</w:t>
      </w:r>
      <w:r w:rsidR="00B64C57">
        <w:rPr>
          <w:i/>
          <w:color w:val="231F20"/>
        </w:rPr>
        <w:t xml:space="preserve"> </w:t>
      </w:r>
      <w:r>
        <w:rPr>
          <w:i/>
          <w:color w:val="231F20"/>
        </w:rPr>
        <w:t>Evans</w:t>
      </w:r>
      <w:r>
        <w:rPr>
          <w:color w:val="231F20"/>
        </w:rPr>
        <w:t>, 280 Va.</w:t>
      </w:r>
      <w:r w:rsidR="00B64C57">
        <w:rPr>
          <w:color w:val="231F20"/>
        </w:rPr>
        <w:t xml:space="preserve"> </w:t>
      </w:r>
      <w:r>
        <w:rPr>
          <w:color w:val="231F20"/>
        </w:rPr>
        <w:t>76, 695 S.E.2d</w:t>
      </w:r>
      <w:r w:rsidR="00B64C57">
        <w:rPr>
          <w:color w:val="231F20"/>
        </w:rPr>
        <w:t xml:space="preserve"> </w:t>
      </w:r>
      <w:r>
        <w:rPr>
          <w:color w:val="231F20"/>
        </w:rPr>
        <w:t>173.</w:t>
      </w:r>
    </w:p>
    <w:p w14:paraId="6FC3E62E" w14:textId="57289DA2" w:rsidR="009910CD" w:rsidRDefault="00FC2690" w:rsidP="00E84432">
      <w:pPr>
        <w:pStyle w:val="BodyText"/>
        <w:spacing w:before="120" w:after="120"/>
        <w:ind w:left="1440"/>
        <w:jc w:val="both"/>
        <w:rPr>
          <w:color w:val="231F20"/>
        </w:rPr>
      </w:pPr>
      <w:r>
        <w:rPr>
          <w:color w:val="231F20"/>
        </w:rPr>
        <w:t>Personal injury action by minor child against parent for negligence in failing to secure in a proper child restraint device. Although statute precludes claims of negligence per se in failure to comply with child seat restraint laws, this does not abrogate a common law action for negligence and as such the case should not have been dismissed on demurrer.</w:t>
      </w:r>
    </w:p>
    <w:p w14:paraId="6EA198B9" w14:textId="0C903228" w:rsidR="007571DB" w:rsidRPr="00ED1338" w:rsidRDefault="007571DB" w:rsidP="007571DB">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3.75</w:t>
      </w:r>
      <w:r>
        <w:rPr>
          <w:color w:val="231F20"/>
        </w:rPr>
        <w:tab/>
        <w:t>Sleep-Operator Falls Asleep</w:t>
      </w:r>
    </w:p>
    <w:p w14:paraId="486CEC64" w14:textId="6B96CDF8" w:rsidR="007571DB" w:rsidRDefault="007571DB" w:rsidP="007571DB">
      <w:pPr>
        <w:spacing w:before="136"/>
        <w:ind w:left="720"/>
      </w:pPr>
      <w:r>
        <w:rPr>
          <w:color w:val="231F20"/>
        </w:rPr>
        <w:t>2021—</w:t>
      </w:r>
      <w:r w:rsidR="00613B2F">
        <w:rPr>
          <w:i/>
          <w:color w:val="231F20"/>
        </w:rPr>
        <w:t>Lucas</w:t>
      </w:r>
      <w:r>
        <w:rPr>
          <w:i/>
          <w:color w:val="231F20"/>
        </w:rPr>
        <w:t xml:space="preserve"> v. </w:t>
      </w:r>
      <w:r w:rsidR="00613B2F">
        <w:rPr>
          <w:i/>
          <w:color w:val="231F20"/>
        </w:rPr>
        <w:t>Riverhill Poultry, Inc.</w:t>
      </w:r>
      <w:r>
        <w:rPr>
          <w:color w:val="231F20"/>
        </w:rPr>
        <w:t xml:space="preserve">, </w:t>
      </w:r>
      <w:r w:rsidR="00613B2F">
        <w:rPr>
          <w:color w:val="231F20"/>
        </w:rPr>
        <w:t>300</w:t>
      </w:r>
      <w:r>
        <w:rPr>
          <w:color w:val="231F20"/>
        </w:rPr>
        <w:t xml:space="preserve"> Va. </w:t>
      </w:r>
      <w:r w:rsidR="00613B2F">
        <w:rPr>
          <w:color w:val="231F20"/>
        </w:rPr>
        <w:t>78</w:t>
      </w:r>
      <w:r>
        <w:rPr>
          <w:color w:val="231F20"/>
        </w:rPr>
        <w:t xml:space="preserve">, </w:t>
      </w:r>
      <w:r w:rsidR="00613B2F">
        <w:rPr>
          <w:color w:val="231F20"/>
        </w:rPr>
        <w:t>860</w:t>
      </w:r>
      <w:r>
        <w:rPr>
          <w:color w:val="231F20"/>
        </w:rPr>
        <w:t xml:space="preserve"> S.E.2d </w:t>
      </w:r>
      <w:r w:rsidR="00613B2F">
        <w:rPr>
          <w:color w:val="231F20"/>
        </w:rPr>
        <w:t>361</w:t>
      </w:r>
      <w:r>
        <w:rPr>
          <w:color w:val="231F20"/>
        </w:rPr>
        <w:t>.</w:t>
      </w:r>
    </w:p>
    <w:p w14:paraId="15B5837C" w14:textId="4E9CDD8E" w:rsidR="007571DB" w:rsidRPr="00130C4A" w:rsidRDefault="00613B2F" w:rsidP="007571DB">
      <w:pPr>
        <w:pStyle w:val="BodyText"/>
        <w:spacing w:before="120" w:after="120"/>
        <w:ind w:left="1440"/>
        <w:jc w:val="both"/>
        <w:rPr>
          <w:color w:val="231F20"/>
        </w:rPr>
      </w:pPr>
      <w:r>
        <w:rPr>
          <w:color w:val="231F20"/>
        </w:rPr>
        <w:t>Trial court correctly refused jury instruction on falling asleep since there was no direct evidence of that.  There must be more than a scintilla of evidence to justify a jury instruction.  Expert neurologist differential diagnosis was inadmissible that employee fell asleep while driving since there was inadequate factual basis.  It was based upon assumptions that were not established</w:t>
      </w:r>
      <w:r w:rsidR="007571DB">
        <w:rPr>
          <w:color w:val="231F20"/>
        </w:rPr>
        <w:t>.</w:t>
      </w:r>
    </w:p>
    <w:p w14:paraId="49626D85"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3.89</w:t>
      </w:r>
      <w:r>
        <w:rPr>
          <w:color w:val="231F20"/>
        </w:rPr>
        <w:tab/>
      </w:r>
      <w:r w:rsidRPr="00ED1338">
        <w:rPr>
          <w:color w:val="231F20"/>
        </w:rPr>
        <w:t>Turns</w:t>
      </w:r>
    </w:p>
    <w:p w14:paraId="60105610" w14:textId="77777777" w:rsidR="009910CD" w:rsidRDefault="00FC2690" w:rsidP="00AF062B">
      <w:pPr>
        <w:pStyle w:val="ListParagraph"/>
        <w:numPr>
          <w:ilvl w:val="2"/>
          <w:numId w:val="13"/>
        </w:numPr>
        <w:spacing w:before="95"/>
        <w:ind w:left="1170" w:hanging="450"/>
        <w:rPr>
          <w:b/>
        </w:rPr>
      </w:pPr>
      <w:r>
        <w:rPr>
          <w:b/>
          <w:color w:val="231F20"/>
        </w:rPr>
        <w:t>Left</w:t>
      </w:r>
    </w:p>
    <w:p w14:paraId="6DC2A057" w14:textId="77777777" w:rsidR="009910CD" w:rsidRDefault="00FC2690" w:rsidP="00451169">
      <w:pPr>
        <w:spacing w:before="135"/>
        <w:ind w:left="720"/>
      </w:pPr>
      <w:r>
        <w:rPr>
          <w:color w:val="231F20"/>
        </w:rPr>
        <w:t>2010—</w:t>
      </w:r>
      <w:r>
        <w:rPr>
          <w:i/>
          <w:color w:val="231F20"/>
        </w:rPr>
        <w:t>Rascher v.</w:t>
      </w:r>
      <w:r w:rsidR="00B64C57">
        <w:rPr>
          <w:i/>
          <w:color w:val="231F20"/>
        </w:rPr>
        <w:t xml:space="preserve"> </w:t>
      </w:r>
      <w:r>
        <w:rPr>
          <w:i/>
          <w:color w:val="231F20"/>
        </w:rPr>
        <w:t>Friend</w:t>
      </w:r>
      <w:r>
        <w:rPr>
          <w:color w:val="231F20"/>
        </w:rPr>
        <w:t>, 279 Va.</w:t>
      </w:r>
      <w:r w:rsidR="00B64C57">
        <w:rPr>
          <w:color w:val="231F20"/>
        </w:rPr>
        <w:t xml:space="preserve"> </w:t>
      </w:r>
      <w:r>
        <w:rPr>
          <w:color w:val="231F20"/>
        </w:rPr>
        <w:t>370, 689 S.E.2d</w:t>
      </w:r>
      <w:r w:rsidR="00B64C57">
        <w:rPr>
          <w:color w:val="231F20"/>
        </w:rPr>
        <w:t xml:space="preserve"> </w:t>
      </w:r>
      <w:r>
        <w:rPr>
          <w:color w:val="231F20"/>
        </w:rPr>
        <w:t>661.</w:t>
      </w:r>
    </w:p>
    <w:p w14:paraId="5E8E2576" w14:textId="77777777" w:rsidR="009910CD" w:rsidRPr="00130C4A" w:rsidRDefault="00FC2690" w:rsidP="00E84432">
      <w:pPr>
        <w:pStyle w:val="BodyText"/>
        <w:spacing w:before="120" w:after="120"/>
        <w:ind w:left="1440"/>
        <w:jc w:val="both"/>
        <w:rPr>
          <w:color w:val="231F20"/>
        </w:rPr>
      </w:pPr>
      <w:r>
        <w:rPr>
          <w:color w:val="231F20"/>
        </w:rPr>
        <w:t>Plaintiff was riding a bicycle on a residential two-lane road. As plaintiff</w:t>
      </w:r>
      <w:r w:rsidRPr="00130C4A">
        <w:rPr>
          <w:color w:val="231F20"/>
        </w:rPr>
        <w:t xml:space="preserve"> </w:t>
      </w:r>
      <w:r>
        <w:rPr>
          <w:color w:val="231F20"/>
        </w:rPr>
        <w:t>approached</w:t>
      </w:r>
      <w:r w:rsidRPr="00130C4A">
        <w:rPr>
          <w:color w:val="231F20"/>
        </w:rPr>
        <w:t xml:space="preserve"> </w:t>
      </w:r>
      <w:r>
        <w:rPr>
          <w:color w:val="231F20"/>
        </w:rPr>
        <w:t>intersection,</w:t>
      </w:r>
      <w:r w:rsidRPr="00130C4A">
        <w:rPr>
          <w:color w:val="231F20"/>
        </w:rPr>
        <w:t xml:space="preserve"> </w:t>
      </w:r>
      <w:r>
        <w:rPr>
          <w:color w:val="231F20"/>
        </w:rPr>
        <w:t>oncoming</w:t>
      </w:r>
      <w:r w:rsidRPr="00130C4A">
        <w:rPr>
          <w:color w:val="231F20"/>
        </w:rPr>
        <w:t xml:space="preserve"> </w:t>
      </w:r>
      <w:r>
        <w:rPr>
          <w:color w:val="231F20"/>
        </w:rPr>
        <w:t>vehicle</w:t>
      </w:r>
      <w:r w:rsidRPr="00130C4A">
        <w:rPr>
          <w:color w:val="231F20"/>
        </w:rPr>
        <w:t xml:space="preserve"> </w:t>
      </w:r>
      <w:r>
        <w:rPr>
          <w:color w:val="231F20"/>
        </w:rPr>
        <w:t>made</w:t>
      </w:r>
      <w:r w:rsidRPr="00130C4A">
        <w:rPr>
          <w:color w:val="231F20"/>
        </w:rPr>
        <w:t xml:space="preserve"> </w:t>
      </w:r>
      <w:r>
        <w:rPr>
          <w:color w:val="231F20"/>
        </w:rPr>
        <w:t>left</w:t>
      </w:r>
      <w:r w:rsidRPr="00130C4A">
        <w:rPr>
          <w:color w:val="231F20"/>
        </w:rPr>
        <w:t xml:space="preserve"> </w:t>
      </w:r>
      <w:r>
        <w:rPr>
          <w:color w:val="231F20"/>
        </w:rPr>
        <w:t>turn</w:t>
      </w:r>
      <w:r w:rsidRPr="00130C4A">
        <w:rPr>
          <w:color w:val="231F20"/>
        </w:rPr>
        <w:t xml:space="preserve"> </w:t>
      </w:r>
      <w:r>
        <w:rPr>
          <w:color w:val="231F20"/>
        </w:rPr>
        <w:t xml:space="preserve">in front of him. After collision, defendant admitted fault and prepaid statutory fine for failing to yield right of </w:t>
      </w:r>
      <w:r w:rsidRPr="00130C4A">
        <w:rPr>
          <w:color w:val="231F20"/>
        </w:rPr>
        <w:t xml:space="preserve">way. </w:t>
      </w:r>
      <w:r>
        <w:rPr>
          <w:color w:val="231F20"/>
        </w:rPr>
        <w:t>Trial court</w:t>
      </w:r>
      <w:r w:rsidRPr="00130C4A">
        <w:rPr>
          <w:color w:val="231F20"/>
        </w:rPr>
        <w:t xml:space="preserve"> </w:t>
      </w:r>
      <w:r>
        <w:rPr>
          <w:color w:val="231F20"/>
        </w:rPr>
        <w:t>improperly struck plaintiff’s evidence on the gr</w:t>
      </w:r>
      <w:r w:rsidR="00103F1A">
        <w:rPr>
          <w:color w:val="231F20"/>
        </w:rPr>
        <w:t>ounds of contributory negli</w:t>
      </w:r>
      <w:r>
        <w:rPr>
          <w:color w:val="231F20"/>
        </w:rPr>
        <w:t>gence. The jury reasonably could have concluded that the plaintiff was</w:t>
      </w:r>
      <w:r w:rsidRPr="00130C4A">
        <w:rPr>
          <w:color w:val="231F20"/>
        </w:rPr>
        <w:t xml:space="preserve"> </w:t>
      </w:r>
      <w:r>
        <w:rPr>
          <w:color w:val="231F20"/>
        </w:rPr>
        <w:t>not</w:t>
      </w:r>
      <w:r w:rsidRPr="00130C4A">
        <w:rPr>
          <w:color w:val="231F20"/>
        </w:rPr>
        <w:t xml:space="preserve"> </w:t>
      </w:r>
      <w:r>
        <w:rPr>
          <w:color w:val="231F20"/>
        </w:rPr>
        <w:t>negligent</w:t>
      </w:r>
      <w:r w:rsidRPr="00130C4A">
        <w:rPr>
          <w:color w:val="231F20"/>
        </w:rPr>
        <w:t xml:space="preserve"> or, </w:t>
      </w:r>
      <w:r>
        <w:rPr>
          <w:color w:val="231F20"/>
        </w:rPr>
        <w:t>in</w:t>
      </w:r>
      <w:r w:rsidRPr="00130C4A">
        <w:rPr>
          <w:color w:val="231F20"/>
        </w:rPr>
        <w:t xml:space="preserve"> </w:t>
      </w:r>
      <w:r>
        <w:rPr>
          <w:color w:val="231F20"/>
        </w:rPr>
        <w:t>the</w:t>
      </w:r>
      <w:r w:rsidRPr="00130C4A">
        <w:rPr>
          <w:color w:val="231F20"/>
        </w:rPr>
        <w:t xml:space="preserve"> </w:t>
      </w:r>
      <w:r>
        <w:rPr>
          <w:color w:val="231F20"/>
        </w:rPr>
        <w:t>alternative,</w:t>
      </w:r>
      <w:r w:rsidRPr="00130C4A">
        <w:rPr>
          <w:color w:val="231F20"/>
        </w:rPr>
        <w:t xml:space="preserve"> </w:t>
      </w:r>
      <w:r>
        <w:rPr>
          <w:color w:val="231F20"/>
        </w:rPr>
        <w:t>that</w:t>
      </w:r>
      <w:r w:rsidRPr="00130C4A">
        <w:rPr>
          <w:color w:val="231F20"/>
        </w:rPr>
        <w:t xml:space="preserve"> </w:t>
      </w:r>
      <w:r>
        <w:rPr>
          <w:color w:val="231F20"/>
        </w:rPr>
        <w:t>any</w:t>
      </w:r>
      <w:r w:rsidRPr="00130C4A">
        <w:rPr>
          <w:color w:val="231F20"/>
        </w:rPr>
        <w:t xml:space="preserve"> </w:t>
      </w:r>
      <w:r>
        <w:rPr>
          <w:color w:val="231F20"/>
        </w:rPr>
        <w:t>such</w:t>
      </w:r>
      <w:r w:rsidRPr="00130C4A">
        <w:rPr>
          <w:color w:val="231F20"/>
        </w:rPr>
        <w:t xml:space="preserve"> </w:t>
      </w:r>
      <w:r>
        <w:rPr>
          <w:color w:val="231F20"/>
        </w:rPr>
        <w:t>negligence</w:t>
      </w:r>
      <w:r w:rsidRPr="00130C4A">
        <w:rPr>
          <w:color w:val="231F20"/>
        </w:rPr>
        <w:t xml:space="preserve"> </w:t>
      </w:r>
      <w:r>
        <w:rPr>
          <w:color w:val="231F20"/>
        </w:rPr>
        <w:t>was not a proximate cause of the</w:t>
      </w:r>
      <w:r w:rsidR="00B64C57">
        <w:rPr>
          <w:color w:val="231F20"/>
        </w:rPr>
        <w:t xml:space="preserve"> </w:t>
      </w:r>
      <w:r>
        <w:rPr>
          <w:color w:val="231F20"/>
        </w:rPr>
        <w:t>collision.</w:t>
      </w:r>
    </w:p>
    <w:p w14:paraId="0E400373" w14:textId="77777777" w:rsidR="009910CD" w:rsidRDefault="009910CD">
      <w:pPr>
        <w:pStyle w:val="BodyText"/>
        <w:spacing w:before="8"/>
        <w:rPr>
          <w:sz w:val="25"/>
        </w:rPr>
      </w:pPr>
    </w:p>
    <w:p w14:paraId="48D1159D" w14:textId="77777777" w:rsidR="00D4105A" w:rsidRDefault="00D4105A">
      <w:pPr>
        <w:rPr>
          <w:b/>
          <w:bCs/>
          <w:color w:val="231F20"/>
          <w:sz w:val="40"/>
          <w:szCs w:val="40"/>
        </w:rPr>
      </w:pPr>
      <w:r>
        <w:rPr>
          <w:color w:val="231F20"/>
        </w:rPr>
        <w:br w:type="page"/>
      </w:r>
    </w:p>
    <w:p w14:paraId="183702C7" w14:textId="77777777" w:rsidR="009910CD" w:rsidRDefault="00FC2690">
      <w:pPr>
        <w:pStyle w:val="Heading1"/>
        <w:spacing w:line="321" w:lineRule="auto"/>
        <w:ind w:left="2619" w:firstLine="1267"/>
      </w:pPr>
      <w:r>
        <w:rPr>
          <w:color w:val="231F20"/>
        </w:rPr>
        <w:lastRenderedPageBreak/>
        <w:t>Chapter 7 PREMISES LIABILITY</w:t>
      </w:r>
    </w:p>
    <w:p w14:paraId="11723E80" w14:textId="77777777" w:rsidR="009910CD" w:rsidRDefault="009910CD">
      <w:pPr>
        <w:pStyle w:val="BodyText"/>
        <w:spacing w:before="5"/>
        <w:rPr>
          <w:b/>
          <w:sz w:val="14"/>
        </w:rPr>
      </w:pPr>
    </w:p>
    <w:p w14:paraId="66D45C6F" w14:textId="77777777" w:rsidR="009910CD" w:rsidRDefault="00FC2690">
      <w:pPr>
        <w:pStyle w:val="Heading4"/>
        <w:tabs>
          <w:tab w:val="left" w:pos="1721"/>
        </w:tabs>
        <w:spacing w:before="64"/>
        <w:ind w:left="718"/>
        <w:jc w:val="center"/>
      </w:pPr>
      <w:r>
        <w:rPr>
          <w:color w:val="231F20"/>
          <w:spacing w:val="-7"/>
        </w:rPr>
        <w:t>PART</w:t>
      </w:r>
      <w:r>
        <w:rPr>
          <w:color w:val="231F20"/>
          <w:spacing w:val="14"/>
        </w:rPr>
        <w:t xml:space="preserve"> </w:t>
      </w:r>
      <w:r>
        <w:rPr>
          <w:color w:val="231F20"/>
        </w:rPr>
        <w:t>I.</w:t>
      </w:r>
      <w:r>
        <w:rPr>
          <w:color w:val="231F20"/>
        </w:rPr>
        <w:tab/>
      </w:r>
      <w:r>
        <w:rPr>
          <w:color w:val="231F20"/>
          <w:spacing w:val="-4"/>
        </w:rPr>
        <w:t>FALLS</w:t>
      </w:r>
    </w:p>
    <w:p w14:paraId="7BEB0768" w14:textId="77777777" w:rsidR="009910CD" w:rsidRPr="00ED1338" w:rsidRDefault="00FC2690" w:rsidP="00ED1338">
      <w:pPr>
        <w:pStyle w:val="Heading4"/>
        <w:tabs>
          <w:tab w:val="left" w:pos="720"/>
        </w:tabs>
        <w:spacing w:before="0" w:line="241" w:lineRule="exact"/>
        <w:ind w:left="0"/>
        <w:rPr>
          <w:color w:val="231F20"/>
        </w:rPr>
      </w:pPr>
      <w:r w:rsidRPr="00ED1338">
        <w:rPr>
          <w:color w:val="231F20"/>
        </w:rPr>
        <w:t>§ 7.07</w:t>
      </w:r>
      <w:r w:rsidRPr="00ED1338">
        <w:rPr>
          <w:color w:val="231F20"/>
        </w:rPr>
        <w:tab/>
        <w:t>Floors</w:t>
      </w:r>
    </w:p>
    <w:p w14:paraId="02880F01" w14:textId="77777777" w:rsidR="009910CD" w:rsidRDefault="00FC2690" w:rsidP="00451169">
      <w:pPr>
        <w:spacing w:before="125"/>
        <w:ind w:left="720"/>
      </w:pPr>
      <w:r>
        <w:rPr>
          <w:color w:val="231F20"/>
        </w:rPr>
        <w:t>2009—</w:t>
      </w:r>
      <w:r>
        <w:rPr>
          <w:i/>
          <w:color w:val="231F20"/>
        </w:rPr>
        <w:t>Fultz v.</w:t>
      </w:r>
      <w:r w:rsidR="00B64C57">
        <w:rPr>
          <w:i/>
          <w:color w:val="231F20"/>
        </w:rPr>
        <w:t xml:space="preserve"> </w:t>
      </w:r>
      <w:r>
        <w:rPr>
          <w:i/>
          <w:color w:val="231F20"/>
        </w:rPr>
        <w:t>Delhaize Am., Inc.</w:t>
      </w:r>
      <w:r>
        <w:rPr>
          <w:color w:val="231F20"/>
        </w:rPr>
        <w:t>, 278 Va.</w:t>
      </w:r>
      <w:r w:rsidR="00B64C57">
        <w:rPr>
          <w:color w:val="231F20"/>
        </w:rPr>
        <w:t xml:space="preserve"> </w:t>
      </w:r>
      <w:r>
        <w:rPr>
          <w:color w:val="231F20"/>
        </w:rPr>
        <w:t>84, 677 S.E.2d</w:t>
      </w:r>
      <w:r w:rsidR="00B64C57">
        <w:rPr>
          <w:color w:val="231F20"/>
        </w:rPr>
        <w:t xml:space="preserve"> </w:t>
      </w:r>
      <w:r>
        <w:rPr>
          <w:color w:val="231F20"/>
        </w:rPr>
        <w:t>272.</w:t>
      </w:r>
    </w:p>
    <w:p w14:paraId="38B45455" w14:textId="77777777" w:rsidR="009910CD" w:rsidRDefault="00FC2690" w:rsidP="00E84432">
      <w:pPr>
        <w:pStyle w:val="BodyText"/>
        <w:spacing w:before="120" w:after="120"/>
        <w:ind w:left="1440"/>
        <w:jc w:val="both"/>
        <w:rPr>
          <w:color w:val="231F20"/>
        </w:rPr>
      </w:pPr>
      <w:r>
        <w:rPr>
          <w:color w:val="231F20"/>
        </w:rPr>
        <w:t>Trial court improperly granted summary judgment based upon contributory negligence of plaintiff where issue presented was whether or not metal bar attached to the floor in this grocery store was open and obvious and, if so, was it reasonable on the part of</w:t>
      </w:r>
      <w:r w:rsidRPr="00130C4A">
        <w:rPr>
          <w:color w:val="231F20"/>
        </w:rPr>
        <w:t xml:space="preserve"> </w:t>
      </w:r>
      <w:r>
        <w:rPr>
          <w:color w:val="231F20"/>
        </w:rPr>
        <w:t>the plaintiff</w:t>
      </w:r>
      <w:r w:rsidRPr="00130C4A">
        <w:rPr>
          <w:color w:val="231F20"/>
        </w:rPr>
        <w:t xml:space="preserve"> </w:t>
      </w:r>
      <w:r>
        <w:rPr>
          <w:color w:val="231F20"/>
        </w:rPr>
        <w:t>to</w:t>
      </w:r>
      <w:r w:rsidRPr="00130C4A">
        <w:rPr>
          <w:color w:val="231F20"/>
        </w:rPr>
        <w:t xml:space="preserve"> </w:t>
      </w:r>
      <w:r>
        <w:rPr>
          <w:color w:val="231F20"/>
        </w:rPr>
        <w:t>not</w:t>
      </w:r>
      <w:r w:rsidRPr="00130C4A">
        <w:rPr>
          <w:color w:val="231F20"/>
        </w:rPr>
        <w:t xml:space="preserve"> </w:t>
      </w:r>
      <w:r>
        <w:rPr>
          <w:color w:val="231F20"/>
        </w:rPr>
        <w:t>see</w:t>
      </w:r>
      <w:r w:rsidRPr="00130C4A">
        <w:rPr>
          <w:color w:val="231F20"/>
        </w:rPr>
        <w:t xml:space="preserve"> </w:t>
      </w:r>
      <w:r>
        <w:rPr>
          <w:color w:val="231F20"/>
        </w:rPr>
        <w:t>it.</w:t>
      </w:r>
      <w:r w:rsidRPr="00130C4A">
        <w:rPr>
          <w:color w:val="231F20"/>
        </w:rPr>
        <w:t xml:space="preserve"> </w:t>
      </w:r>
      <w:r>
        <w:rPr>
          <w:color w:val="231F20"/>
        </w:rPr>
        <w:t>Even</w:t>
      </w:r>
      <w:r w:rsidRPr="00130C4A">
        <w:rPr>
          <w:color w:val="231F20"/>
        </w:rPr>
        <w:t xml:space="preserve"> </w:t>
      </w:r>
      <w:r>
        <w:rPr>
          <w:color w:val="231F20"/>
        </w:rPr>
        <w:t>assuming</w:t>
      </w:r>
      <w:r w:rsidRPr="00130C4A">
        <w:rPr>
          <w:color w:val="231F20"/>
        </w:rPr>
        <w:t xml:space="preserve"> </w:t>
      </w:r>
      <w:r>
        <w:rPr>
          <w:color w:val="231F20"/>
        </w:rPr>
        <w:t>that</w:t>
      </w:r>
      <w:r w:rsidRPr="00130C4A">
        <w:rPr>
          <w:color w:val="231F20"/>
        </w:rPr>
        <w:t xml:space="preserve"> </w:t>
      </w:r>
      <w:r>
        <w:rPr>
          <w:color w:val="231F20"/>
        </w:rPr>
        <w:t>the</w:t>
      </w:r>
      <w:r w:rsidRPr="00130C4A">
        <w:rPr>
          <w:color w:val="231F20"/>
        </w:rPr>
        <w:t xml:space="preserve"> </w:t>
      </w:r>
      <w:r>
        <w:rPr>
          <w:color w:val="231F20"/>
        </w:rPr>
        <w:t>condition</w:t>
      </w:r>
      <w:r w:rsidRPr="00130C4A">
        <w:rPr>
          <w:color w:val="231F20"/>
        </w:rPr>
        <w:t xml:space="preserve"> </w:t>
      </w:r>
      <w:r>
        <w:rPr>
          <w:color w:val="231F20"/>
        </w:rPr>
        <w:t>was</w:t>
      </w:r>
      <w:r w:rsidRPr="00130C4A">
        <w:rPr>
          <w:color w:val="231F20"/>
        </w:rPr>
        <w:t xml:space="preserve"> </w:t>
      </w:r>
      <w:r>
        <w:rPr>
          <w:color w:val="231F20"/>
        </w:rPr>
        <w:t>open</w:t>
      </w:r>
      <w:r w:rsidRPr="00130C4A">
        <w:rPr>
          <w:color w:val="231F20"/>
        </w:rPr>
        <w:t xml:space="preserve"> </w:t>
      </w:r>
      <w:r>
        <w:rPr>
          <w:color w:val="231F20"/>
        </w:rPr>
        <w:t>and obvious, the second issue was one for the</w:t>
      </w:r>
      <w:r w:rsidR="00B64C57">
        <w:rPr>
          <w:color w:val="231F20"/>
        </w:rPr>
        <w:t xml:space="preserve"> </w:t>
      </w:r>
      <w:r w:rsidRPr="00130C4A">
        <w:rPr>
          <w:color w:val="231F20"/>
        </w:rPr>
        <w:t>jury.</w:t>
      </w:r>
    </w:p>
    <w:p w14:paraId="6CED42BC" w14:textId="644889D3" w:rsidR="00E96831" w:rsidRDefault="00E96831" w:rsidP="00E96831">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7.11</w:t>
      </w:r>
      <w:r>
        <w:rPr>
          <w:color w:val="231F20"/>
        </w:rPr>
        <w:tab/>
        <w:t>Miscellaneous</w:t>
      </w:r>
    </w:p>
    <w:p w14:paraId="16F32825" w14:textId="77777777" w:rsidR="00E96831" w:rsidRDefault="00E96831" w:rsidP="00E96831">
      <w:pPr>
        <w:pStyle w:val="Heading4"/>
        <w:tabs>
          <w:tab w:val="left" w:pos="720"/>
        </w:tabs>
        <w:spacing w:before="0" w:line="241" w:lineRule="exact"/>
        <w:ind w:left="0"/>
        <w:rPr>
          <w:color w:val="231F20"/>
        </w:rPr>
      </w:pPr>
    </w:p>
    <w:p w14:paraId="5FC472F6" w14:textId="0588BA13" w:rsidR="00E96831" w:rsidRDefault="00E96831" w:rsidP="002046B8">
      <w:pPr>
        <w:ind w:left="810"/>
        <w:jc w:val="both"/>
      </w:pPr>
      <w:r w:rsidRPr="002046B8">
        <w:rPr>
          <w:i/>
          <w:iCs/>
        </w:rPr>
        <w:t>See</w:t>
      </w:r>
      <w:r>
        <w:t xml:space="preserve"> </w:t>
      </w:r>
      <w:r w:rsidR="002F24E0">
        <w:t>Va.</w:t>
      </w:r>
      <w:r>
        <w:t xml:space="preserve"> Code § 8.01-279 as to </w:t>
      </w:r>
      <w:r w:rsidR="00165098">
        <w:t>proof</w:t>
      </w:r>
      <w:r>
        <w:t xml:space="preserve"> of ownership, control, handwriting, partnership and incorporation. </w:t>
      </w:r>
    </w:p>
    <w:p w14:paraId="082C0EE6" w14:textId="77777777" w:rsidR="00E96831" w:rsidRPr="00ED1338" w:rsidRDefault="00E96831" w:rsidP="00E96831">
      <w:pPr>
        <w:pStyle w:val="Heading4"/>
        <w:tabs>
          <w:tab w:val="left" w:pos="720"/>
        </w:tabs>
        <w:spacing w:before="0" w:line="241" w:lineRule="exact"/>
        <w:ind w:left="0"/>
        <w:rPr>
          <w:color w:val="231F20"/>
        </w:rPr>
      </w:pPr>
    </w:p>
    <w:p w14:paraId="791418D8"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7.12</w:t>
      </w:r>
      <w:r>
        <w:rPr>
          <w:color w:val="231F20"/>
        </w:rPr>
        <w:tab/>
        <w:t>Open and Obvious</w:t>
      </w:r>
      <w:r w:rsidRPr="00ED1338">
        <w:rPr>
          <w:color w:val="231F20"/>
        </w:rPr>
        <w:t xml:space="preserve"> </w:t>
      </w:r>
      <w:r>
        <w:rPr>
          <w:color w:val="231F20"/>
        </w:rPr>
        <w:t>Condition</w:t>
      </w:r>
    </w:p>
    <w:p w14:paraId="130A10C1" w14:textId="77777777" w:rsidR="009910CD" w:rsidRDefault="00FC2690" w:rsidP="00451169">
      <w:pPr>
        <w:spacing w:before="136"/>
        <w:ind w:left="720"/>
      </w:pPr>
      <w:r>
        <w:rPr>
          <w:color w:val="231F20"/>
        </w:rPr>
        <w:t>2011—</w:t>
      </w:r>
      <w:r>
        <w:rPr>
          <w:i/>
          <w:color w:val="231F20"/>
        </w:rPr>
        <w:t>Volpe v.</w:t>
      </w:r>
      <w:r w:rsidR="00B64C57">
        <w:rPr>
          <w:i/>
          <w:color w:val="231F20"/>
        </w:rPr>
        <w:t xml:space="preserve"> </w:t>
      </w:r>
      <w:r>
        <w:rPr>
          <w:i/>
          <w:color w:val="231F20"/>
        </w:rPr>
        <w:t>City of Lexington</w:t>
      </w:r>
      <w:r>
        <w:rPr>
          <w:color w:val="231F20"/>
        </w:rPr>
        <w:t>, 281 Va.</w:t>
      </w:r>
      <w:r w:rsidR="00B64C57">
        <w:rPr>
          <w:color w:val="231F20"/>
        </w:rPr>
        <w:t xml:space="preserve"> </w:t>
      </w:r>
      <w:r>
        <w:rPr>
          <w:color w:val="231F20"/>
        </w:rPr>
        <w:t>630, 708 S.E.2d</w:t>
      </w:r>
      <w:r w:rsidR="00B64C57">
        <w:rPr>
          <w:color w:val="231F20"/>
        </w:rPr>
        <w:t xml:space="preserve"> </w:t>
      </w:r>
      <w:r>
        <w:rPr>
          <w:color w:val="231F20"/>
        </w:rPr>
        <w:t>824.</w:t>
      </w:r>
    </w:p>
    <w:p w14:paraId="04318060" w14:textId="77777777" w:rsidR="009910CD" w:rsidRPr="00130C4A" w:rsidRDefault="00FC2690" w:rsidP="00E84432">
      <w:pPr>
        <w:pStyle w:val="BodyText"/>
        <w:spacing w:before="120" w:after="120"/>
        <w:ind w:left="1440"/>
        <w:jc w:val="both"/>
        <w:rPr>
          <w:color w:val="231F20"/>
        </w:rPr>
      </w:pPr>
      <w:r>
        <w:rPr>
          <w:color w:val="231F20"/>
        </w:rPr>
        <w:t xml:space="preserve">Child drowned in river that was designated as a city park designed for swimming. Trial </w:t>
      </w:r>
      <w:r w:rsidR="00AE3B68">
        <w:rPr>
          <w:color w:val="231F20"/>
        </w:rPr>
        <w:t>c</w:t>
      </w:r>
      <w:r>
        <w:rPr>
          <w:color w:val="231F20"/>
        </w:rPr>
        <w:t>ourt incorrectly held that dangerous current was open and obvious condition. Al</w:t>
      </w:r>
      <w:r w:rsidR="00103F1A">
        <w:rPr>
          <w:color w:val="231F20"/>
        </w:rPr>
        <w:t>though the potential dangerous</w:t>
      </w:r>
      <w:r>
        <w:rPr>
          <w:color w:val="231F20"/>
        </w:rPr>
        <w:t>ness of the water itself may have been open and obvious, what was not open and obvious was the dangerous current which created a hydraulic</w:t>
      </w:r>
      <w:r w:rsidRPr="00130C4A">
        <w:rPr>
          <w:color w:val="231F20"/>
        </w:rPr>
        <w:t xml:space="preserve"> </w:t>
      </w:r>
      <w:r>
        <w:rPr>
          <w:color w:val="231F20"/>
        </w:rPr>
        <w:t>beneath</w:t>
      </w:r>
      <w:r w:rsidRPr="00130C4A">
        <w:rPr>
          <w:color w:val="231F20"/>
        </w:rPr>
        <w:t xml:space="preserve"> </w:t>
      </w:r>
      <w:r>
        <w:rPr>
          <w:color w:val="231F20"/>
        </w:rPr>
        <w:t>the</w:t>
      </w:r>
      <w:r w:rsidRPr="00130C4A">
        <w:rPr>
          <w:color w:val="231F20"/>
        </w:rPr>
        <w:t xml:space="preserve"> </w:t>
      </w:r>
      <w:r>
        <w:rPr>
          <w:color w:val="231F20"/>
        </w:rPr>
        <w:t>water</w:t>
      </w:r>
      <w:r w:rsidRPr="00130C4A">
        <w:rPr>
          <w:color w:val="231F20"/>
        </w:rPr>
        <w:t xml:space="preserve"> </w:t>
      </w:r>
      <w:r>
        <w:rPr>
          <w:color w:val="231F20"/>
        </w:rPr>
        <w:t>surface.</w:t>
      </w:r>
      <w:r w:rsidRPr="00130C4A">
        <w:rPr>
          <w:color w:val="231F20"/>
        </w:rPr>
        <w:t xml:space="preserve"> </w:t>
      </w:r>
      <w:r>
        <w:rPr>
          <w:color w:val="231F20"/>
        </w:rPr>
        <w:t>Jury</w:t>
      </w:r>
      <w:r w:rsidRPr="00130C4A">
        <w:rPr>
          <w:color w:val="231F20"/>
        </w:rPr>
        <w:t xml:space="preserve"> </w:t>
      </w:r>
      <w:r>
        <w:rPr>
          <w:color w:val="231F20"/>
        </w:rPr>
        <w:t>issue</w:t>
      </w:r>
      <w:r w:rsidRPr="00130C4A">
        <w:rPr>
          <w:color w:val="231F20"/>
        </w:rPr>
        <w:t xml:space="preserve"> </w:t>
      </w:r>
      <w:r>
        <w:rPr>
          <w:color w:val="231F20"/>
        </w:rPr>
        <w:t>likewise</w:t>
      </w:r>
      <w:r w:rsidRPr="00130C4A">
        <w:rPr>
          <w:color w:val="231F20"/>
        </w:rPr>
        <w:t xml:space="preserve"> </w:t>
      </w:r>
      <w:r>
        <w:rPr>
          <w:color w:val="231F20"/>
        </w:rPr>
        <w:t>created</w:t>
      </w:r>
      <w:r w:rsidRPr="00130C4A">
        <w:rPr>
          <w:color w:val="231F20"/>
        </w:rPr>
        <w:t xml:space="preserve"> </w:t>
      </w:r>
      <w:r>
        <w:rPr>
          <w:color w:val="231F20"/>
        </w:rPr>
        <w:t>as</w:t>
      </w:r>
      <w:r w:rsidRPr="00130C4A">
        <w:rPr>
          <w:color w:val="231F20"/>
        </w:rPr>
        <w:t xml:space="preserve"> </w:t>
      </w:r>
      <w:r>
        <w:rPr>
          <w:color w:val="231F20"/>
        </w:rPr>
        <w:t>to whether or not this condition constituted a form of recklessness or total disregard of precautions amounting to gross negligence on the part</w:t>
      </w:r>
      <w:r w:rsidRPr="00130C4A">
        <w:rPr>
          <w:color w:val="231F20"/>
        </w:rPr>
        <w:t xml:space="preserve"> </w:t>
      </w:r>
      <w:r>
        <w:rPr>
          <w:color w:val="231F20"/>
        </w:rPr>
        <w:t>of</w:t>
      </w:r>
      <w:r w:rsidRPr="00130C4A">
        <w:rPr>
          <w:color w:val="231F20"/>
        </w:rPr>
        <w:t xml:space="preserve"> </w:t>
      </w:r>
      <w:r>
        <w:rPr>
          <w:color w:val="231F20"/>
        </w:rPr>
        <w:t>the</w:t>
      </w:r>
      <w:r w:rsidRPr="00130C4A">
        <w:rPr>
          <w:color w:val="231F20"/>
        </w:rPr>
        <w:t xml:space="preserve"> City. </w:t>
      </w:r>
      <w:r>
        <w:rPr>
          <w:color w:val="231F20"/>
        </w:rPr>
        <w:t>As</w:t>
      </w:r>
      <w:r w:rsidRPr="00130C4A">
        <w:rPr>
          <w:color w:val="231F20"/>
        </w:rPr>
        <w:t xml:space="preserve"> </w:t>
      </w:r>
      <w:r>
        <w:rPr>
          <w:color w:val="231F20"/>
        </w:rPr>
        <w:t>a</w:t>
      </w:r>
      <w:r w:rsidRPr="00130C4A">
        <w:rPr>
          <w:color w:val="231F20"/>
        </w:rPr>
        <w:t xml:space="preserve"> </w:t>
      </w:r>
      <w:r>
        <w:rPr>
          <w:color w:val="231F20"/>
        </w:rPr>
        <w:t>matter</w:t>
      </w:r>
      <w:r w:rsidRPr="00130C4A">
        <w:rPr>
          <w:color w:val="231F20"/>
        </w:rPr>
        <w:t xml:space="preserve"> </w:t>
      </w:r>
      <w:r>
        <w:rPr>
          <w:color w:val="231F20"/>
        </w:rPr>
        <w:t>of</w:t>
      </w:r>
      <w:r w:rsidRPr="00130C4A">
        <w:rPr>
          <w:color w:val="231F20"/>
        </w:rPr>
        <w:t xml:space="preserve"> law, </w:t>
      </w:r>
      <w:r>
        <w:rPr>
          <w:color w:val="231F20"/>
        </w:rPr>
        <w:t>however,</w:t>
      </w:r>
      <w:r w:rsidRPr="00130C4A">
        <w:rPr>
          <w:color w:val="231F20"/>
        </w:rPr>
        <w:t xml:space="preserve"> </w:t>
      </w:r>
      <w:r>
        <w:rPr>
          <w:color w:val="231F20"/>
        </w:rPr>
        <w:t>this</w:t>
      </w:r>
      <w:r w:rsidRPr="00130C4A">
        <w:rPr>
          <w:color w:val="231F20"/>
        </w:rPr>
        <w:t xml:space="preserve"> </w:t>
      </w:r>
      <w:r>
        <w:rPr>
          <w:color w:val="231F20"/>
        </w:rPr>
        <w:t>conduct</w:t>
      </w:r>
      <w:r w:rsidRPr="00130C4A">
        <w:rPr>
          <w:color w:val="231F20"/>
        </w:rPr>
        <w:t xml:space="preserve"> </w:t>
      </w:r>
      <w:r>
        <w:rPr>
          <w:color w:val="231F20"/>
        </w:rPr>
        <w:t>on</w:t>
      </w:r>
      <w:r w:rsidRPr="00130C4A">
        <w:rPr>
          <w:color w:val="231F20"/>
        </w:rPr>
        <w:t xml:space="preserve"> </w:t>
      </w:r>
      <w:r>
        <w:rPr>
          <w:color w:val="231F20"/>
        </w:rPr>
        <w:t>the</w:t>
      </w:r>
      <w:r w:rsidRPr="00130C4A">
        <w:rPr>
          <w:color w:val="231F20"/>
        </w:rPr>
        <w:t xml:space="preserve"> </w:t>
      </w:r>
      <w:r>
        <w:rPr>
          <w:color w:val="231F20"/>
        </w:rPr>
        <w:t>part of</w:t>
      </w:r>
      <w:r w:rsidRPr="00130C4A">
        <w:rPr>
          <w:color w:val="231F20"/>
        </w:rPr>
        <w:t xml:space="preserve"> </w:t>
      </w:r>
      <w:r>
        <w:rPr>
          <w:color w:val="231F20"/>
        </w:rPr>
        <w:t>the</w:t>
      </w:r>
      <w:r w:rsidRPr="00130C4A">
        <w:rPr>
          <w:color w:val="231F20"/>
        </w:rPr>
        <w:t xml:space="preserve"> </w:t>
      </w:r>
      <w:r>
        <w:rPr>
          <w:color w:val="231F20"/>
        </w:rPr>
        <w:t>City</w:t>
      </w:r>
      <w:r w:rsidRPr="00130C4A">
        <w:rPr>
          <w:color w:val="231F20"/>
        </w:rPr>
        <w:t xml:space="preserve"> </w:t>
      </w:r>
      <w:r>
        <w:rPr>
          <w:color w:val="231F20"/>
        </w:rPr>
        <w:t>did</w:t>
      </w:r>
      <w:r w:rsidRPr="00130C4A">
        <w:rPr>
          <w:color w:val="231F20"/>
        </w:rPr>
        <w:t xml:space="preserve"> </w:t>
      </w:r>
      <w:r>
        <w:rPr>
          <w:color w:val="231F20"/>
        </w:rPr>
        <w:t>not</w:t>
      </w:r>
      <w:r w:rsidRPr="00130C4A">
        <w:rPr>
          <w:color w:val="231F20"/>
        </w:rPr>
        <w:t xml:space="preserve"> </w:t>
      </w:r>
      <w:r>
        <w:rPr>
          <w:color w:val="231F20"/>
        </w:rPr>
        <w:t>rise</w:t>
      </w:r>
      <w:r w:rsidRPr="00130C4A">
        <w:rPr>
          <w:color w:val="231F20"/>
        </w:rPr>
        <w:t xml:space="preserve"> </w:t>
      </w:r>
      <w:r>
        <w:rPr>
          <w:color w:val="231F20"/>
        </w:rPr>
        <w:t>to</w:t>
      </w:r>
      <w:r w:rsidRPr="00130C4A">
        <w:rPr>
          <w:color w:val="231F20"/>
        </w:rPr>
        <w:t xml:space="preserve"> </w:t>
      </w:r>
      <w:r>
        <w:rPr>
          <w:color w:val="231F20"/>
        </w:rPr>
        <w:t>the</w:t>
      </w:r>
      <w:r w:rsidRPr="00130C4A">
        <w:rPr>
          <w:color w:val="231F20"/>
        </w:rPr>
        <w:t xml:space="preserve"> </w:t>
      </w:r>
      <w:r>
        <w:rPr>
          <w:color w:val="231F20"/>
        </w:rPr>
        <w:t>level</w:t>
      </w:r>
      <w:r w:rsidRPr="00130C4A">
        <w:rPr>
          <w:color w:val="231F20"/>
        </w:rPr>
        <w:t xml:space="preserve"> </w:t>
      </w:r>
      <w:r>
        <w:rPr>
          <w:color w:val="231F20"/>
        </w:rPr>
        <w:t>of</w:t>
      </w:r>
      <w:r w:rsidRPr="00130C4A">
        <w:rPr>
          <w:color w:val="231F20"/>
        </w:rPr>
        <w:t xml:space="preserve"> </w:t>
      </w:r>
      <w:r>
        <w:rPr>
          <w:color w:val="231F20"/>
        </w:rPr>
        <w:t>willful</w:t>
      </w:r>
      <w:r w:rsidRPr="00130C4A">
        <w:rPr>
          <w:color w:val="231F20"/>
        </w:rPr>
        <w:t xml:space="preserve"> </w:t>
      </w:r>
      <w:r>
        <w:rPr>
          <w:color w:val="231F20"/>
        </w:rPr>
        <w:t>and</w:t>
      </w:r>
      <w:r w:rsidRPr="00130C4A">
        <w:rPr>
          <w:color w:val="231F20"/>
        </w:rPr>
        <w:t xml:space="preserve"> </w:t>
      </w:r>
      <w:r>
        <w:rPr>
          <w:color w:val="231F20"/>
        </w:rPr>
        <w:t>wanton</w:t>
      </w:r>
      <w:r w:rsidRPr="00130C4A">
        <w:rPr>
          <w:color w:val="231F20"/>
        </w:rPr>
        <w:t xml:space="preserve"> </w:t>
      </w:r>
      <w:r>
        <w:rPr>
          <w:color w:val="231F20"/>
        </w:rPr>
        <w:t>negligence.</w:t>
      </w:r>
    </w:p>
    <w:p w14:paraId="7A16A88E" w14:textId="77777777" w:rsidR="009910CD" w:rsidRDefault="00FC2690" w:rsidP="00451169">
      <w:pPr>
        <w:spacing w:before="121"/>
        <w:ind w:left="720"/>
      </w:pPr>
      <w:r>
        <w:rPr>
          <w:color w:val="231F20"/>
        </w:rPr>
        <w:t>2009—</w:t>
      </w:r>
      <w:r>
        <w:rPr>
          <w:i/>
          <w:color w:val="231F20"/>
        </w:rPr>
        <w:t>Fultz v.</w:t>
      </w:r>
      <w:r w:rsidR="00B64C57">
        <w:rPr>
          <w:i/>
          <w:color w:val="231F20"/>
        </w:rPr>
        <w:t xml:space="preserve"> </w:t>
      </w:r>
      <w:r>
        <w:rPr>
          <w:i/>
          <w:color w:val="231F20"/>
        </w:rPr>
        <w:t>Delhaize Am., Inc.</w:t>
      </w:r>
      <w:r>
        <w:rPr>
          <w:color w:val="231F20"/>
        </w:rPr>
        <w:t>, 278 Va.</w:t>
      </w:r>
      <w:r w:rsidR="00B64C57">
        <w:rPr>
          <w:color w:val="231F20"/>
        </w:rPr>
        <w:t xml:space="preserve"> </w:t>
      </w:r>
      <w:r>
        <w:rPr>
          <w:color w:val="231F20"/>
        </w:rPr>
        <w:t>84, 677 S.E.2d</w:t>
      </w:r>
      <w:r w:rsidR="00B64C57">
        <w:rPr>
          <w:color w:val="231F20"/>
        </w:rPr>
        <w:t xml:space="preserve"> </w:t>
      </w:r>
      <w:r>
        <w:rPr>
          <w:color w:val="231F20"/>
        </w:rPr>
        <w:t>272.</w:t>
      </w:r>
    </w:p>
    <w:p w14:paraId="524D4CF1" w14:textId="77777777" w:rsidR="009910CD" w:rsidRPr="00130C4A" w:rsidRDefault="00FC2690" w:rsidP="00E84432">
      <w:pPr>
        <w:pStyle w:val="BodyText"/>
        <w:spacing w:before="120" w:after="120"/>
        <w:ind w:left="1440"/>
        <w:jc w:val="both"/>
        <w:rPr>
          <w:color w:val="231F20"/>
        </w:rPr>
      </w:pPr>
      <w:r>
        <w:rPr>
          <w:color w:val="231F20"/>
        </w:rPr>
        <w:t>Trial court improperly granted summary judgment based upon contributory negligence of plaintiff where issue presented was whether or not metal bar attached to the floor in this grocery store was open and obvious and, if so, was it reasonable on the part of</w:t>
      </w:r>
      <w:r w:rsidRPr="00130C4A">
        <w:rPr>
          <w:color w:val="231F20"/>
        </w:rPr>
        <w:t xml:space="preserve"> </w:t>
      </w:r>
      <w:r>
        <w:rPr>
          <w:color w:val="231F20"/>
        </w:rPr>
        <w:t>the plaintiff</w:t>
      </w:r>
      <w:r w:rsidRPr="00130C4A">
        <w:rPr>
          <w:color w:val="231F20"/>
        </w:rPr>
        <w:t xml:space="preserve"> </w:t>
      </w:r>
      <w:r>
        <w:rPr>
          <w:color w:val="231F20"/>
        </w:rPr>
        <w:t>to</w:t>
      </w:r>
      <w:r w:rsidRPr="00130C4A">
        <w:rPr>
          <w:color w:val="231F20"/>
        </w:rPr>
        <w:t xml:space="preserve"> </w:t>
      </w:r>
      <w:r>
        <w:rPr>
          <w:color w:val="231F20"/>
        </w:rPr>
        <w:t>not</w:t>
      </w:r>
      <w:r w:rsidRPr="00130C4A">
        <w:rPr>
          <w:color w:val="231F20"/>
        </w:rPr>
        <w:t xml:space="preserve"> </w:t>
      </w:r>
      <w:r>
        <w:rPr>
          <w:color w:val="231F20"/>
        </w:rPr>
        <w:t>see</w:t>
      </w:r>
      <w:r w:rsidRPr="00130C4A">
        <w:rPr>
          <w:color w:val="231F20"/>
        </w:rPr>
        <w:t xml:space="preserve"> </w:t>
      </w:r>
      <w:r>
        <w:rPr>
          <w:color w:val="231F20"/>
        </w:rPr>
        <w:t>it.</w:t>
      </w:r>
      <w:r w:rsidRPr="00130C4A">
        <w:rPr>
          <w:color w:val="231F20"/>
        </w:rPr>
        <w:t xml:space="preserve"> </w:t>
      </w:r>
      <w:r>
        <w:rPr>
          <w:color w:val="231F20"/>
        </w:rPr>
        <w:t>Even</w:t>
      </w:r>
      <w:r w:rsidRPr="00130C4A">
        <w:rPr>
          <w:color w:val="231F20"/>
        </w:rPr>
        <w:t xml:space="preserve"> </w:t>
      </w:r>
      <w:r>
        <w:rPr>
          <w:color w:val="231F20"/>
        </w:rPr>
        <w:t>assuming</w:t>
      </w:r>
      <w:r w:rsidRPr="00130C4A">
        <w:rPr>
          <w:color w:val="231F20"/>
        </w:rPr>
        <w:t xml:space="preserve"> </w:t>
      </w:r>
      <w:r>
        <w:rPr>
          <w:color w:val="231F20"/>
        </w:rPr>
        <w:t>that</w:t>
      </w:r>
      <w:r w:rsidRPr="00130C4A">
        <w:rPr>
          <w:color w:val="231F20"/>
        </w:rPr>
        <w:t xml:space="preserve"> </w:t>
      </w:r>
      <w:r>
        <w:rPr>
          <w:color w:val="231F20"/>
        </w:rPr>
        <w:t>the</w:t>
      </w:r>
      <w:r w:rsidRPr="00130C4A">
        <w:rPr>
          <w:color w:val="231F20"/>
        </w:rPr>
        <w:t xml:space="preserve"> </w:t>
      </w:r>
      <w:r>
        <w:rPr>
          <w:color w:val="231F20"/>
        </w:rPr>
        <w:t>condition</w:t>
      </w:r>
      <w:r w:rsidRPr="00130C4A">
        <w:rPr>
          <w:color w:val="231F20"/>
        </w:rPr>
        <w:t xml:space="preserve"> </w:t>
      </w:r>
      <w:r>
        <w:rPr>
          <w:color w:val="231F20"/>
        </w:rPr>
        <w:t>was</w:t>
      </w:r>
      <w:r w:rsidRPr="00130C4A">
        <w:rPr>
          <w:color w:val="231F20"/>
        </w:rPr>
        <w:t xml:space="preserve"> </w:t>
      </w:r>
      <w:r>
        <w:rPr>
          <w:color w:val="231F20"/>
        </w:rPr>
        <w:t>open</w:t>
      </w:r>
      <w:r w:rsidRPr="00130C4A">
        <w:rPr>
          <w:color w:val="231F20"/>
        </w:rPr>
        <w:t xml:space="preserve"> </w:t>
      </w:r>
      <w:r>
        <w:rPr>
          <w:color w:val="231F20"/>
        </w:rPr>
        <w:t>and obvious, the second issue was one for the</w:t>
      </w:r>
      <w:r w:rsidR="00B64C57">
        <w:rPr>
          <w:color w:val="231F20"/>
        </w:rPr>
        <w:t xml:space="preserve"> </w:t>
      </w:r>
      <w:r w:rsidRPr="00130C4A">
        <w:rPr>
          <w:color w:val="231F20"/>
        </w:rPr>
        <w:t>jury.</w:t>
      </w:r>
    </w:p>
    <w:p w14:paraId="7A8D8F0A" w14:textId="77777777" w:rsidR="003D5ECF" w:rsidRDefault="003D5ECF">
      <w:pPr>
        <w:pStyle w:val="Heading4"/>
        <w:tabs>
          <w:tab w:val="left" w:pos="1647"/>
        </w:tabs>
        <w:spacing w:before="1"/>
        <w:ind w:left="559"/>
        <w:jc w:val="center"/>
        <w:rPr>
          <w:color w:val="231F20"/>
          <w:spacing w:val="-7"/>
        </w:rPr>
      </w:pPr>
    </w:p>
    <w:p w14:paraId="23B57C81" w14:textId="77777777" w:rsidR="009910CD" w:rsidRDefault="00FC2690">
      <w:pPr>
        <w:pStyle w:val="Heading4"/>
        <w:tabs>
          <w:tab w:val="left" w:pos="1647"/>
        </w:tabs>
        <w:spacing w:before="1"/>
        <w:ind w:left="559"/>
        <w:jc w:val="center"/>
        <w:rPr>
          <w:color w:val="231F20"/>
        </w:rPr>
      </w:pPr>
      <w:r>
        <w:rPr>
          <w:color w:val="231F20"/>
          <w:spacing w:val="-7"/>
        </w:rPr>
        <w:t>PART</w:t>
      </w:r>
      <w:r>
        <w:rPr>
          <w:color w:val="231F20"/>
          <w:spacing w:val="14"/>
        </w:rPr>
        <w:t xml:space="preserve"> </w:t>
      </w:r>
      <w:r>
        <w:rPr>
          <w:color w:val="231F20"/>
        </w:rPr>
        <w:t>II.</w:t>
      </w:r>
      <w:r>
        <w:rPr>
          <w:color w:val="231F20"/>
        </w:rPr>
        <w:tab/>
        <w:t>INTERVENING CRIMINAL</w:t>
      </w:r>
      <w:r>
        <w:rPr>
          <w:color w:val="231F20"/>
          <w:spacing w:val="-4"/>
        </w:rPr>
        <w:t xml:space="preserve"> </w:t>
      </w:r>
      <w:r>
        <w:rPr>
          <w:color w:val="231F20"/>
        </w:rPr>
        <w:t>ACTS</w:t>
      </w:r>
    </w:p>
    <w:p w14:paraId="04761CBC" w14:textId="77777777" w:rsidR="00AB18B1" w:rsidRDefault="00AB18B1">
      <w:pPr>
        <w:pStyle w:val="Heading4"/>
        <w:tabs>
          <w:tab w:val="left" w:pos="1647"/>
        </w:tabs>
        <w:spacing w:before="1"/>
        <w:ind w:left="559"/>
        <w:jc w:val="center"/>
      </w:pPr>
    </w:p>
    <w:p w14:paraId="423910CB" w14:textId="77777777" w:rsidR="009910CD" w:rsidRPr="00ED1338" w:rsidRDefault="00FC2690" w:rsidP="00ED1338">
      <w:pPr>
        <w:pStyle w:val="Heading4"/>
        <w:tabs>
          <w:tab w:val="left" w:pos="720"/>
        </w:tabs>
        <w:spacing w:before="0" w:line="241" w:lineRule="exact"/>
        <w:ind w:left="0"/>
        <w:rPr>
          <w:color w:val="231F20"/>
        </w:rPr>
      </w:pPr>
      <w:r w:rsidRPr="00ED1338">
        <w:rPr>
          <w:color w:val="231F20"/>
        </w:rPr>
        <w:t>§ 7.21</w:t>
      </w:r>
      <w:r w:rsidRPr="00ED1338">
        <w:rPr>
          <w:color w:val="231F20"/>
        </w:rPr>
        <w:tab/>
        <w:t>Criminal Acts</w:t>
      </w:r>
    </w:p>
    <w:p w14:paraId="224613F0" w14:textId="77777777" w:rsidR="009910CD" w:rsidRDefault="00FC2690" w:rsidP="00451169">
      <w:pPr>
        <w:spacing w:before="126"/>
        <w:ind w:left="720"/>
      </w:pPr>
      <w:r>
        <w:rPr>
          <w:color w:val="231F20"/>
        </w:rPr>
        <w:t>2013—</w:t>
      </w:r>
      <w:r>
        <w:rPr>
          <w:i/>
          <w:color w:val="231F20"/>
        </w:rPr>
        <w:t>Commonwealth v.</w:t>
      </w:r>
      <w:r w:rsidR="00B64C57">
        <w:rPr>
          <w:i/>
          <w:color w:val="231F20"/>
        </w:rPr>
        <w:t xml:space="preserve"> </w:t>
      </w:r>
      <w:r>
        <w:rPr>
          <w:i/>
          <w:color w:val="231F20"/>
        </w:rPr>
        <w:t>Peterson</w:t>
      </w:r>
      <w:r>
        <w:rPr>
          <w:color w:val="231F20"/>
        </w:rPr>
        <w:t>, 286 Va.</w:t>
      </w:r>
      <w:r w:rsidR="00B64C57">
        <w:rPr>
          <w:color w:val="231F20"/>
        </w:rPr>
        <w:t xml:space="preserve"> </w:t>
      </w:r>
      <w:r>
        <w:rPr>
          <w:color w:val="231F20"/>
        </w:rPr>
        <w:t>349, 749 S.E.2d</w:t>
      </w:r>
      <w:r w:rsidR="00B64C57">
        <w:rPr>
          <w:color w:val="231F20"/>
        </w:rPr>
        <w:t xml:space="preserve"> </w:t>
      </w:r>
      <w:r>
        <w:rPr>
          <w:color w:val="231F20"/>
        </w:rPr>
        <w:t>307.</w:t>
      </w:r>
    </w:p>
    <w:p w14:paraId="7577B002" w14:textId="77777777" w:rsidR="009910CD" w:rsidRPr="00130C4A" w:rsidRDefault="00FC2690" w:rsidP="00E84432">
      <w:pPr>
        <w:pStyle w:val="BodyText"/>
        <w:spacing w:before="120" w:after="120"/>
        <w:ind w:left="1440"/>
        <w:jc w:val="both"/>
        <w:rPr>
          <w:color w:val="231F20"/>
        </w:rPr>
      </w:pPr>
      <w:r>
        <w:rPr>
          <w:color w:val="231F20"/>
        </w:rPr>
        <w:t xml:space="preserve">This case arises out of the 2007 </w:t>
      </w:r>
      <w:r w:rsidRPr="00130C4A">
        <w:rPr>
          <w:color w:val="231F20"/>
        </w:rPr>
        <w:t xml:space="preserve">Virginia Tech </w:t>
      </w:r>
      <w:r>
        <w:rPr>
          <w:color w:val="231F20"/>
        </w:rPr>
        <w:t>shootings. Four million dollar jury verdict is reduced by trial judge to $100,000.00 and then totally vacated by Supreme Court. The relationship of the parties</w:t>
      </w:r>
      <w:r w:rsidRPr="00130C4A">
        <w:rPr>
          <w:color w:val="231F20"/>
        </w:rPr>
        <w:t xml:space="preserve"> </w:t>
      </w:r>
      <w:r>
        <w:rPr>
          <w:color w:val="231F20"/>
        </w:rPr>
        <w:t>is</w:t>
      </w:r>
      <w:r w:rsidRPr="00130C4A">
        <w:rPr>
          <w:color w:val="231F20"/>
        </w:rPr>
        <w:t xml:space="preserve"> </w:t>
      </w:r>
      <w:r>
        <w:rPr>
          <w:color w:val="231F20"/>
        </w:rPr>
        <w:t>that</w:t>
      </w:r>
      <w:r w:rsidRPr="00130C4A">
        <w:rPr>
          <w:color w:val="231F20"/>
        </w:rPr>
        <w:t xml:space="preserve"> </w:t>
      </w:r>
      <w:r>
        <w:rPr>
          <w:color w:val="231F20"/>
        </w:rPr>
        <w:t>of</w:t>
      </w:r>
      <w:r w:rsidRPr="00130C4A">
        <w:rPr>
          <w:color w:val="231F20"/>
        </w:rPr>
        <w:t xml:space="preserve"> </w:t>
      </w:r>
      <w:r>
        <w:rPr>
          <w:color w:val="231F20"/>
        </w:rPr>
        <w:t>business</w:t>
      </w:r>
      <w:r w:rsidRPr="00130C4A">
        <w:rPr>
          <w:color w:val="231F20"/>
        </w:rPr>
        <w:t xml:space="preserve"> </w:t>
      </w:r>
      <w:r>
        <w:rPr>
          <w:color w:val="231F20"/>
        </w:rPr>
        <w:t>owner</w:t>
      </w:r>
      <w:r w:rsidRPr="00130C4A">
        <w:rPr>
          <w:color w:val="231F20"/>
        </w:rPr>
        <w:t xml:space="preserve"> </w:t>
      </w:r>
      <w:r>
        <w:rPr>
          <w:color w:val="231F20"/>
        </w:rPr>
        <w:t>and</w:t>
      </w:r>
      <w:r w:rsidRPr="00130C4A">
        <w:rPr>
          <w:color w:val="231F20"/>
        </w:rPr>
        <w:t xml:space="preserve"> </w:t>
      </w:r>
      <w:r>
        <w:rPr>
          <w:color w:val="231F20"/>
        </w:rPr>
        <w:t>invitee</w:t>
      </w:r>
      <w:r w:rsidRPr="00130C4A">
        <w:rPr>
          <w:color w:val="231F20"/>
        </w:rPr>
        <w:t xml:space="preserve"> </w:t>
      </w:r>
      <w:r>
        <w:rPr>
          <w:color w:val="231F20"/>
        </w:rPr>
        <w:t>and</w:t>
      </w:r>
      <w:r w:rsidRPr="00130C4A">
        <w:rPr>
          <w:color w:val="231F20"/>
        </w:rPr>
        <w:t xml:space="preserve"> </w:t>
      </w:r>
      <w:r>
        <w:rPr>
          <w:color w:val="231F20"/>
        </w:rPr>
        <w:t>in</w:t>
      </w:r>
      <w:r w:rsidRPr="00130C4A">
        <w:rPr>
          <w:color w:val="231F20"/>
        </w:rPr>
        <w:t xml:space="preserve"> </w:t>
      </w:r>
      <w:r>
        <w:rPr>
          <w:color w:val="231F20"/>
        </w:rPr>
        <w:t>that</w:t>
      </w:r>
      <w:r w:rsidRPr="00130C4A">
        <w:rPr>
          <w:color w:val="231F20"/>
        </w:rPr>
        <w:t xml:space="preserve"> </w:t>
      </w:r>
      <w:r>
        <w:rPr>
          <w:color w:val="231F20"/>
        </w:rPr>
        <w:t xml:space="preserve">circumstance owner owes a duty to warn only if he knows of an imminent probability of harm. Although the trial court applied a lesser standard, even that standard could not be met in this case. Secondly from the administrator’s point of </w:t>
      </w:r>
      <w:r w:rsidRPr="00130C4A">
        <w:rPr>
          <w:color w:val="231F20"/>
        </w:rPr>
        <w:t xml:space="preserve">view, </w:t>
      </w:r>
      <w:r>
        <w:rPr>
          <w:color w:val="231F20"/>
        </w:rPr>
        <w:t>they believed the shooting was a domestic incident and that the shooter had fled the scene and no longer posed a danger. Under these circumstances there was no duty to</w:t>
      </w:r>
      <w:r w:rsidRPr="00130C4A">
        <w:rPr>
          <w:color w:val="231F20"/>
        </w:rPr>
        <w:t xml:space="preserve"> </w:t>
      </w:r>
      <w:r>
        <w:rPr>
          <w:color w:val="231F20"/>
        </w:rPr>
        <w:t>warn.</w:t>
      </w:r>
    </w:p>
    <w:p w14:paraId="24A6D0B3" w14:textId="77777777" w:rsidR="009910CD" w:rsidRDefault="00FC2690">
      <w:pPr>
        <w:pStyle w:val="Heading4"/>
        <w:tabs>
          <w:tab w:val="left" w:pos="1732"/>
        </w:tabs>
        <w:spacing w:before="0"/>
        <w:ind w:left="559"/>
        <w:jc w:val="center"/>
      </w:pPr>
      <w:r>
        <w:rPr>
          <w:color w:val="231F20"/>
          <w:spacing w:val="-7"/>
        </w:rPr>
        <w:lastRenderedPageBreak/>
        <w:t>PART</w:t>
      </w:r>
      <w:r>
        <w:rPr>
          <w:color w:val="231F20"/>
          <w:spacing w:val="14"/>
        </w:rPr>
        <w:t xml:space="preserve"> </w:t>
      </w:r>
      <w:r>
        <w:rPr>
          <w:color w:val="231F20"/>
        </w:rPr>
        <w:t>III.</w:t>
      </w:r>
      <w:r>
        <w:rPr>
          <w:color w:val="231F20"/>
        </w:rPr>
        <w:tab/>
        <w:t>LANDLORD/TENANT</w:t>
      </w:r>
    </w:p>
    <w:p w14:paraId="2EA137C6" w14:textId="77777777" w:rsidR="009910CD" w:rsidRPr="00ED1338" w:rsidRDefault="00FC2690" w:rsidP="00ED1338">
      <w:pPr>
        <w:pStyle w:val="Heading4"/>
        <w:tabs>
          <w:tab w:val="left" w:pos="720"/>
        </w:tabs>
        <w:spacing w:before="0" w:line="241" w:lineRule="exact"/>
        <w:ind w:left="0"/>
        <w:rPr>
          <w:color w:val="231F20"/>
        </w:rPr>
      </w:pPr>
      <w:r w:rsidRPr="00ED1338">
        <w:rPr>
          <w:color w:val="231F20"/>
        </w:rPr>
        <w:t>§ 7.24</w:t>
      </w:r>
      <w:r w:rsidRPr="00ED1338">
        <w:rPr>
          <w:color w:val="231F20"/>
        </w:rPr>
        <w:tab/>
        <w:t>General Obligations</w:t>
      </w:r>
    </w:p>
    <w:p w14:paraId="79E56B1C" w14:textId="77777777" w:rsidR="009910CD" w:rsidRDefault="00FC2690" w:rsidP="00451169">
      <w:pPr>
        <w:pStyle w:val="BodyText"/>
        <w:spacing w:before="105"/>
        <w:ind w:left="720"/>
      </w:pPr>
      <w:r>
        <w:rPr>
          <w:i/>
          <w:color w:val="231F20"/>
        </w:rPr>
        <w:t xml:space="preserve">See </w:t>
      </w:r>
      <w:r>
        <w:rPr>
          <w:color w:val="231F20"/>
        </w:rPr>
        <w:t>Va.</w:t>
      </w:r>
      <w:r w:rsidR="00B64C57">
        <w:rPr>
          <w:color w:val="231F20"/>
        </w:rPr>
        <w:t xml:space="preserve"> </w:t>
      </w:r>
      <w:r>
        <w:rPr>
          <w:color w:val="231F20"/>
        </w:rPr>
        <w:t>Code § 8.01-226.12 as to mold</w:t>
      </w:r>
      <w:r w:rsidR="00B64C57">
        <w:rPr>
          <w:color w:val="231F20"/>
        </w:rPr>
        <w:t xml:space="preserve"> </w:t>
      </w:r>
      <w:r>
        <w:rPr>
          <w:color w:val="231F20"/>
        </w:rPr>
        <w:t>cases.</w:t>
      </w:r>
    </w:p>
    <w:p w14:paraId="5412FB53" w14:textId="46DFFBBD" w:rsidR="002C1124" w:rsidRDefault="002C1124" w:rsidP="002C1124">
      <w:pPr>
        <w:spacing w:before="135"/>
        <w:ind w:left="720"/>
      </w:pPr>
      <w:r w:rsidRPr="000E608E">
        <w:rPr>
          <w:color w:val="231F20"/>
        </w:rPr>
        <w:t>201</w:t>
      </w:r>
      <w:r>
        <w:rPr>
          <w:color w:val="231F20"/>
        </w:rPr>
        <w:t>8</w:t>
      </w:r>
      <w:r w:rsidRPr="000E608E">
        <w:rPr>
          <w:color w:val="231F20"/>
        </w:rPr>
        <w:t>—</w:t>
      </w:r>
      <w:r>
        <w:rPr>
          <w:i/>
          <w:color w:val="231F20"/>
        </w:rPr>
        <w:t>Haynes-Garrett v. Dunn.</w:t>
      </w:r>
      <w:r w:rsidRPr="000E608E">
        <w:rPr>
          <w:color w:val="231F20"/>
        </w:rPr>
        <w:t xml:space="preserve">, </w:t>
      </w:r>
      <w:r>
        <w:rPr>
          <w:color w:val="231F20"/>
        </w:rPr>
        <w:t>296</w:t>
      </w:r>
      <w:r w:rsidRPr="000E608E">
        <w:rPr>
          <w:color w:val="231F20"/>
        </w:rPr>
        <w:t xml:space="preserve"> Va. </w:t>
      </w:r>
      <w:r>
        <w:rPr>
          <w:color w:val="231F20"/>
        </w:rPr>
        <w:t>191</w:t>
      </w:r>
      <w:r w:rsidRPr="000E608E">
        <w:rPr>
          <w:color w:val="231F20"/>
        </w:rPr>
        <w:t xml:space="preserve">, </w:t>
      </w:r>
      <w:r>
        <w:rPr>
          <w:color w:val="231F20"/>
        </w:rPr>
        <w:t>818</w:t>
      </w:r>
      <w:r w:rsidRPr="000E608E">
        <w:rPr>
          <w:color w:val="231F20"/>
        </w:rPr>
        <w:t xml:space="preserve"> S.E.2d </w:t>
      </w:r>
      <w:r>
        <w:rPr>
          <w:color w:val="231F20"/>
        </w:rPr>
        <w:t>798</w:t>
      </w:r>
      <w:r w:rsidRPr="000E608E">
        <w:rPr>
          <w:color w:val="231F20"/>
        </w:rPr>
        <w:t>.</w:t>
      </w:r>
    </w:p>
    <w:p w14:paraId="7740819B" w14:textId="39B30FD1" w:rsidR="002C1124" w:rsidRPr="00A9170A" w:rsidRDefault="00421FB2" w:rsidP="002C1124">
      <w:pPr>
        <w:pStyle w:val="BodyText"/>
        <w:spacing w:before="120" w:after="120"/>
        <w:ind w:left="1440"/>
        <w:jc w:val="both"/>
        <w:rPr>
          <w:color w:val="231F20"/>
        </w:rPr>
      </w:pPr>
      <w:r>
        <w:rPr>
          <w:color w:val="231F20"/>
        </w:rPr>
        <w:t>Plaintiff rented a beach house at Virginia Beach for one week.  While in the house, plaintiff suffered an injury as a result of an uneven floor.  The common law rule is that landlord has no duty to maintain any part of the premises under the tenant’s exclusive control.  If however this property was treated as an inn, then there may be a duty.  Plaintiff failed to establish the latter.</w:t>
      </w:r>
    </w:p>
    <w:p w14:paraId="17747101" w14:textId="77777777" w:rsidR="002C1124" w:rsidRDefault="002C1124" w:rsidP="002C1124">
      <w:pPr>
        <w:spacing w:before="136"/>
        <w:ind w:left="720"/>
      </w:pPr>
      <w:r>
        <w:rPr>
          <w:color w:val="231F20"/>
          <w:spacing w:val="-3"/>
        </w:rPr>
        <w:t>2018—</w:t>
      </w:r>
      <w:r>
        <w:rPr>
          <w:i/>
          <w:color w:val="231F20"/>
          <w:spacing w:val="-3"/>
        </w:rPr>
        <w:t>Cherry v. Lawson Realty Corp</w:t>
      </w:r>
      <w:r>
        <w:rPr>
          <w:i/>
          <w:color w:val="231F20"/>
        </w:rPr>
        <w:t>.</w:t>
      </w:r>
      <w:r>
        <w:rPr>
          <w:color w:val="231F20"/>
        </w:rPr>
        <w:t xml:space="preserve">, 295 </w:t>
      </w:r>
      <w:r>
        <w:rPr>
          <w:color w:val="231F20"/>
          <w:spacing w:val="-9"/>
        </w:rPr>
        <w:t xml:space="preserve">Va. </w:t>
      </w:r>
      <w:r>
        <w:rPr>
          <w:color w:val="231F20"/>
        </w:rPr>
        <w:t>369, 812 S.E.2d 775.</w:t>
      </w:r>
    </w:p>
    <w:p w14:paraId="691FF1DA" w14:textId="6860F1CF" w:rsidR="002C1124" w:rsidRPr="00901D29" w:rsidRDefault="002F24E0" w:rsidP="002C1124">
      <w:pPr>
        <w:pStyle w:val="BodyText"/>
        <w:spacing w:before="120" w:after="120"/>
        <w:ind w:left="1440"/>
        <w:jc w:val="both"/>
        <w:rPr>
          <w:color w:val="231F20"/>
        </w:rPr>
      </w:pPr>
      <w:r>
        <w:rPr>
          <w:color w:val="231F20"/>
        </w:rPr>
        <w:t>Va.</w:t>
      </w:r>
      <w:r w:rsidR="002C1124">
        <w:rPr>
          <w:color w:val="231F20"/>
        </w:rPr>
        <w:t xml:space="preserve"> Code § 8.01-226.12 established a direct cause of action for personal injury and property damage whenever the landlord or managing agent with maintenance responsibilities failed to remediate visible mold in accordance with the codified professional standards for mold remediation.  That Code section however did not eliminate or bar causes of action under the common law.  The Supreme Court stated that it perceived no intent by the General Assembly to abrogate common law tort liability or immunity beyond the narrow confines of the statute.</w:t>
      </w:r>
    </w:p>
    <w:p w14:paraId="714B1C9C" w14:textId="77777777" w:rsidR="009910CD" w:rsidRDefault="00FC2690" w:rsidP="00451169">
      <w:pPr>
        <w:spacing w:before="139" w:line="240" w:lineRule="exact"/>
        <w:ind w:left="720" w:right="821"/>
      </w:pPr>
      <w:r>
        <w:rPr>
          <w:color w:val="231F20"/>
        </w:rPr>
        <w:t>2012—</w:t>
      </w:r>
      <w:r>
        <w:rPr>
          <w:i/>
          <w:color w:val="231F20"/>
        </w:rPr>
        <w:t>Steward, v. Holland Family Properties</w:t>
      </w:r>
      <w:r>
        <w:rPr>
          <w:color w:val="231F20"/>
        </w:rPr>
        <w:t>, 284 Va. 282, 726 S.E.2d 251.</w:t>
      </w:r>
    </w:p>
    <w:p w14:paraId="69958E38" w14:textId="77777777" w:rsidR="009910CD" w:rsidRPr="00130C4A" w:rsidRDefault="00FC2690" w:rsidP="00E84432">
      <w:pPr>
        <w:pStyle w:val="BodyText"/>
        <w:spacing w:before="120" w:after="120"/>
        <w:ind w:left="1440"/>
        <w:jc w:val="both"/>
        <w:rPr>
          <w:color w:val="231F20"/>
        </w:rPr>
      </w:pPr>
      <w:r>
        <w:rPr>
          <w:color w:val="231F20"/>
        </w:rPr>
        <w:t>It is alleged that infant was exposed to lead paint in rental houses resulting in permanent injury. The complaint alleges that the landlords of both premises are liable for these injuries based on negligence per se, common law negligence, Residential Landlord and Tenant Act, and building code provisions. Trial court properly held that tort duty with regard to tenants of leased properties is not imposed upon the landlord.</w:t>
      </w:r>
    </w:p>
    <w:p w14:paraId="297DFCCC"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7.27</w:t>
      </w:r>
      <w:r>
        <w:rPr>
          <w:color w:val="231F20"/>
        </w:rPr>
        <w:tab/>
        <w:t>Promises to</w:t>
      </w:r>
      <w:r w:rsidRPr="00ED1338">
        <w:rPr>
          <w:color w:val="231F20"/>
        </w:rPr>
        <w:t xml:space="preserve"> </w:t>
      </w:r>
      <w:r>
        <w:rPr>
          <w:color w:val="231F20"/>
        </w:rPr>
        <w:t>Repair</w:t>
      </w:r>
    </w:p>
    <w:p w14:paraId="6157DAA6" w14:textId="77777777" w:rsidR="009910CD" w:rsidRDefault="00FC2690" w:rsidP="00451169">
      <w:pPr>
        <w:spacing w:before="136"/>
        <w:ind w:left="720"/>
      </w:pPr>
      <w:r>
        <w:rPr>
          <w:color w:val="231F20"/>
        </w:rPr>
        <w:t>2010—</w:t>
      </w:r>
      <w:r>
        <w:rPr>
          <w:i/>
          <w:color w:val="231F20"/>
        </w:rPr>
        <w:t>Sales v.</w:t>
      </w:r>
      <w:r w:rsidR="00B64C57">
        <w:rPr>
          <w:i/>
          <w:color w:val="231F20"/>
        </w:rPr>
        <w:t xml:space="preserve"> </w:t>
      </w:r>
      <w:r>
        <w:rPr>
          <w:i/>
          <w:color w:val="231F20"/>
        </w:rPr>
        <w:t>Kecoughtan Hous. Co.</w:t>
      </w:r>
      <w:r>
        <w:rPr>
          <w:color w:val="231F20"/>
        </w:rPr>
        <w:t>, 279 Va.</w:t>
      </w:r>
      <w:r w:rsidR="00B64C57">
        <w:rPr>
          <w:color w:val="231F20"/>
        </w:rPr>
        <w:t xml:space="preserve"> </w:t>
      </w:r>
      <w:r>
        <w:rPr>
          <w:color w:val="231F20"/>
        </w:rPr>
        <w:t>475, 690 S.E.2d</w:t>
      </w:r>
      <w:r w:rsidR="00B64C57">
        <w:rPr>
          <w:color w:val="231F20"/>
        </w:rPr>
        <w:t xml:space="preserve"> </w:t>
      </w:r>
      <w:r>
        <w:rPr>
          <w:color w:val="231F20"/>
        </w:rPr>
        <w:t>91.</w:t>
      </w:r>
    </w:p>
    <w:p w14:paraId="026C0985" w14:textId="77777777" w:rsidR="009910CD" w:rsidRPr="00130C4A" w:rsidRDefault="00FC2690" w:rsidP="00E84432">
      <w:pPr>
        <w:pStyle w:val="BodyText"/>
        <w:spacing w:before="120" w:after="120"/>
        <w:ind w:left="1440"/>
        <w:jc w:val="both"/>
        <w:rPr>
          <w:color w:val="231F20"/>
        </w:rPr>
      </w:pPr>
      <w:r w:rsidRPr="00130C4A">
        <w:rPr>
          <w:color w:val="231F20"/>
        </w:rPr>
        <w:t xml:space="preserve">Tenant </w:t>
      </w:r>
      <w:r>
        <w:rPr>
          <w:color w:val="231F20"/>
        </w:rPr>
        <w:t>filed</w:t>
      </w:r>
      <w:r w:rsidRPr="00130C4A">
        <w:rPr>
          <w:color w:val="231F20"/>
        </w:rPr>
        <w:t xml:space="preserve"> </w:t>
      </w:r>
      <w:r>
        <w:rPr>
          <w:color w:val="231F20"/>
        </w:rPr>
        <w:t>suit</w:t>
      </w:r>
      <w:r w:rsidRPr="00130C4A">
        <w:rPr>
          <w:color w:val="231F20"/>
        </w:rPr>
        <w:t xml:space="preserve"> </w:t>
      </w:r>
      <w:r>
        <w:rPr>
          <w:color w:val="231F20"/>
        </w:rPr>
        <w:t>against</w:t>
      </w:r>
      <w:r w:rsidRPr="00130C4A">
        <w:rPr>
          <w:color w:val="231F20"/>
        </w:rPr>
        <w:t xml:space="preserve"> </w:t>
      </w:r>
      <w:r>
        <w:rPr>
          <w:color w:val="231F20"/>
        </w:rPr>
        <w:t>apartment</w:t>
      </w:r>
      <w:r w:rsidRPr="00130C4A">
        <w:rPr>
          <w:color w:val="231F20"/>
        </w:rPr>
        <w:t xml:space="preserve"> </w:t>
      </w:r>
      <w:r>
        <w:rPr>
          <w:color w:val="231F20"/>
        </w:rPr>
        <w:t>owner</w:t>
      </w:r>
      <w:r w:rsidRPr="00130C4A">
        <w:rPr>
          <w:color w:val="231F20"/>
        </w:rPr>
        <w:t xml:space="preserve"> </w:t>
      </w:r>
      <w:r>
        <w:rPr>
          <w:color w:val="231F20"/>
        </w:rPr>
        <w:t>and</w:t>
      </w:r>
      <w:r w:rsidRPr="00130C4A">
        <w:rPr>
          <w:color w:val="231F20"/>
        </w:rPr>
        <w:t xml:space="preserve"> </w:t>
      </w:r>
      <w:r>
        <w:rPr>
          <w:color w:val="231F20"/>
        </w:rPr>
        <w:t>management</w:t>
      </w:r>
      <w:r w:rsidRPr="00130C4A">
        <w:rPr>
          <w:color w:val="231F20"/>
        </w:rPr>
        <w:t xml:space="preserve"> </w:t>
      </w:r>
      <w:r>
        <w:rPr>
          <w:color w:val="231F20"/>
        </w:rPr>
        <w:t>company for personal injury and property damage resulting from mold in the apartment. Plaintiff complained about the prese</w:t>
      </w:r>
      <w:r w:rsidR="00103F1A">
        <w:rPr>
          <w:color w:val="231F20"/>
        </w:rPr>
        <w:t>nce of mold. Defen</w:t>
      </w:r>
      <w:r>
        <w:rPr>
          <w:color w:val="231F20"/>
        </w:rPr>
        <w:t>dants</w:t>
      </w:r>
      <w:r w:rsidRPr="00130C4A">
        <w:rPr>
          <w:color w:val="231F20"/>
        </w:rPr>
        <w:t xml:space="preserve"> </w:t>
      </w:r>
      <w:r>
        <w:rPr>
          <w:color w:val="231F20"/>
        </w:rPr>
        <w:t>represented</w:t>
      </w:r>
      <w:r w:rsidRPr="00130C4A">
        <w:rPr>
          <w:color w:val="231F20"/>
        </w:rPr>
        <w:t xml:space="preserve"> </w:t>
      </w:r>
      <w:r>
        <w:rPr>
          <w:color w:val="231F20"/>
        </w:rPr>
        <w:t>that</w:t>
      </w:r>
      <w:r w:rsidRPr="00130C4A">
        <w:rPr>
          <w:color w:val="231F20"/>
        </w:rPr>
        <w:t xml:space="preserve"> </w:t>
      </w:r>
      <w:r>
        <w:rPr>
          <w:color w:val="231F20"/>
        </w:rPr>
        <w:t>the</w:t>
      </w:r>
      <w:r w:rsidRPr="00130C4A">
        <w:rPr>
          <w:color w:val="231F20"/>
        </w:rPr>
        <w:t xml:space="preserve"> </w:t>
      </w:r>
      <w:r>
        <w:rPr>
          <w:color w:val="231F20"/>
        </w:rPr>
        <w:t>mold</w:t>
      </w:r>
      <w:r w:rsidRPr="00130C4A">
        <w:rPr>
          <w:color w:val="231F20"/>
        </w:rPr>
        <w:t xml:space="preserve"> </w:t>
      </w:r>
      <w:r>
        <w:rPr>
          <w:color w:val="231F20"/>
        </w:rPr>
        <w:t>had</w:t>
      </w:r>
      <w:r w:rsidRPr="00130C4A">
        <w:rPr>
          <w:color w:val="231F20"/>
        </w:rPr>
        <w:t xml:space="preserve"> </w:t>
      </w:r>
      <w:r>
        <w:rPr>
          <w:color w:val="231F20"/>
        </w:rPr>
        <w:t>been</w:t>
      </w:r>
      <w:r w:rsidRPr="00130C4A">
        <w:rPr>
          <w:color w:val="231F20"/>
        </w:rPr>
        <w:t xml:space="preserve"> </w:t>
      </w:r>
      <w:r>
        <w:rPr>
          <w:color w:val="231F20"/>
        </w:rPr>
        <w:t>remedied.</w:t>
      </w:r>
      <w:r w:rsidRPr="00130C4A">
        <w:rPr>
          <w:color w:val="231F20"/>
        </w:rPr>
        <w:t xml:space="preserve"> </w:t>
      </w:r>
      <w:r>
        <w:rPr>
          <w:color w:val="231F20"/>
        </w:rPr>
        <w:t>The</w:t>
      </w:r>
      <w:r w:rsidRPr="00130C4A">
        <w:rPr>
          <w:color w:val="231F20"/>
        </w:rPr>
        <w:t xml:space="preserve"> </w:t>
      </w:r>
      <w:r>
        <w:rPr>
          <w:color w:val="231F20"/>
        </w:rPr>
        <w:t>mold</w:t>
      </w:r>
      <w:r w:rsidRPr="00130C4A">
        <w:rPr>
          <w:color w:val="231F20"/>
        </w:rPr>
        <w:t xml:space="preserve"> </w:t>
      </w:r>
      <w:r>
        <w:rPr>
          <w:color w:val="231F20"/>
        </w:rPr>
        <w:t>in</w:t>
      </w:r>
      <w:r w:rsidRPr="00130C4A">
        <w:rPr>
          <w:color w:val="231F20"/>
        </w:rPr>
        <w:t xml:space="preserve"> </w:t>
      </w:r>
      <w:r>
        <w:rPr>
          <w:color w:val="231F20"/>
        </w:rPr>
        <w:t xml:space="preserve">fact began growing again causing personal injury and property damage to the plaintiff. Plaintiff properly set forth claims of negligent repair and fraud. Trial court improperly granted demurrer to the amended complaint and dismissed the complaint with prejudice. That was </w:t>
      </w:r>
      <w:r w:rsidRPr="00130C4A">
        <w:rPr>
          <w:color w:val="231F20"/>
        </w:rPr>
        <w:t>error.</w:t>
      </w:r>
    </w:p>
    <w:p w14:paraId="05B5E66C" w14:textId="77777777" w:rsidR="009910CD" w:rsidRDefault="009910CD">
      <w:pPr>
        <w:pStyle w:val="BodyText"/>
      </w:pPr>
    </w:p>
    <w:p w14:paraId="2E556C11" w14:textId="77777777" w:rsidR="003D5ECF" w:rsidRDefault="003D5ECF">
      <w:pPr>
        <w:rPr>
          <w:b/>
          <w:bCs/>
          <w:color w:val="231F20"/>
          <w:sz w:val="40"/>
          <w:szCs w:val="40"/>
        </w:rPr>
      </w:pPr>
      <w:r>
        <w:rPr>
          <w:color w:val="231F20"/>
        </w:rPr>
        <w:br w:type="page"/>
      </w:r>
    </w:p>
    <w:p w14:paraId="1E1FA6CE" w14:textId="77777777" w:rsidR="00430D9B" w:rsidRDefault="00FC2690" w:rsidP="00430D9B">
      <w:pPr>
        <w:pStyle w:val="Heading1"/>
        <w:spacing w:line="328" w:lineRule="auto"/>
        <w:ind w:left="0" w:right="0" w:firstLine="0"/>
        <w:jc w:val="center"/>
        <w:rPr>
          <w:color w:val="231F20"/>
        </w:rPr>
      </w:pPr>
      <w:r>
        <w:rPr>
          <w:color w:val="231F20"/>
        </w:rPr>
        <w:lastRenderedPageBreak/>
        <w:t xml:space="preserve">Chapter 8 </w:t>
      </w:r>
    </w:p>
    <w:p w14:paraId="3F4EE0E0" w14:textId="77777777" w:rsidR="009910CD" w:rsidRDefault="00FC2690" w:rsidP="00430D9B">
      <w:pPr>
        <w:pStyle w:val="Heading1"/>
        <w:spacing w:line="328" w:lineRule="auto"/>
        <w:ind w:left="0" w:right="0" w:firstLine="0"/>
        <w:jc w:val="center"/>
      </w:pPr>
      <w:r>
        <w:rPr>
          <w:color w:val="231F20"/>
        </w:rPr>
        <w:t>PRODUCTS LIABILITY</w:t>
      </w:r>
    </w:p>
    <w:p w14:paraId="5015BDC4"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8.</w:t>
      </w:r>
      <w:r w:rsidR="00E02F71">
        <w:rPr>
          <w:color w:val="231F20"/>
        </w:rPr>
        <w:t>04</w:t>
      </w:r>
      <w:r>
        <w:rPr>
          <w:color w:val="231F20"/>
        </w:rPr>
        <w:tab/>
      </w:r>
      <w:r w:rsidR="00E02F71">
        <w:rPr>
          <w:color w:val="231F20"/>
        </w:rPr>
        <w:t>Defects</w:t>
      </w:r>
    </w:p>
    <w:p w14:paraId="6D1DD5D4" w14:textId="77777777" w:rsidR="009910CD" w:rsidRDefault="00FC2690" w:rsidP="00AF062B">
      <w:pPr>
        <w:tabs>
          <w:tab w:val="left" w:pos="2121"/>
        </w:tabs>
        <w:spacing w:before="86"/>
        <w:ind w:left="1170" w:hanging="450"/>
        <w:rPr>
          <w:b/>
        </w:rPr>
      </w:pPr>
      <w:r>
        <w:rPr>
          <w:b/>
          <w:color w:val="231F20"/>
        </w:rPr>
        <w:t>[</w:t>
      </w:r>
      <w:r w:rsidR="00E02F71">
        <w:rPr>
          <w:b/>
          <w:color w:val="231F20"/>
        </w:rPr>
        <w:t>5</w:t>
      </w:r>
      <w:r>
        <w:rPr>
          <w:b/>
          <w:color w:val="231F20"/>
        </w:rPr>
        <w:t>]</w:t>
      </w:r>
      <w:r>
        <w:rPr>
          <w:b/>
          <w:color w:val="231F20"/>
        </w:rPr>
        <w:tab/>
      </w:r>
      <w:r w:rsidR="00E02F71">
        <w:rPr>
          <w:b/>
          <w:color w:val="231F20"/>
        </w:rPr>
        <w:t>Specific</w:t>
      </w:r>
    </w:p>
    <w:p w14:paraId="2CA106C0" w14:textId="77777777" w:rsidR="009910CD" w:rsidRDefault="00FC2690" w:rsidP="00451169">
      <w:pPr>
        <w:spacing w:before="139" w:line="240" w:lineRule="exact"/>
        <w:ind w:left="720" w:right="676"/>
      </w:pPr>
      <w:r>
        <w:rPr>
          <w:color w:val="231F20"/>
        </w:rPr>
        <w:t>201</w:t>
      </w:r>
      <w:r w:rsidR="00E02F71">
        <w:rPr>
          <w:color w:val="231F20"/>
        </w:rPr>
        <w:t>8</w:t>
      </w:r>
      <w:r>
        <w:rPr>
          <w:color w:val="231F20"/>
        </w:rPr>
        <w:t>—</w:t>
      </w:r>
      <w:r w:rsidR="00C93EDF">
        <w:rPr>
          <w:i/>
          <w:color w:val="231F20"/>
        </w:rPr>
        <w:t>Evans</w:t>
      </w:r>
      <w:r w:rsidR="00E02F71">
        <w:rPr>
          <w:i/>
          <w:color w:val="231F20"/>
        </w:rPr>
        <w:t xml:space="preserve"> v. Nacco</w:t>
      </w:r>
      <w:r>
        <w:rPr>
          <w:color w:val="231F20"/>
        </w:rPr>
        <w:t>, 2</w:t>
      </w:r>
      <w:r w:rsidR="00E02F71">
        <w:rPr>
          <w:color w:val="231F20"/>
        </w:rPr>
        <w:t>95</w:t>
      </w:r>
      <w:r>
        <w:rPr>
          <w:color w:val="231F20"/>
        </w:rPr>
        <w:t xml:space="preserve"> Va. </w:t>
      </w:r>
      <w:r w:rsidR="00C93EDF">
        <w:rPr>
          <w:color w:val="231F20"/>
        </w:rPr>
        <w:t>235</w:t>
      </w:r>
      <w:r>
        <w:rPr>
          <w:color w:val="231F20"/>
        </w:rPr>
        <w:t xml:space="preserve">, </w:t>
      </w:r>
      <w:r w:rsidR="00C93EDF">
        <w:rPr>
          <w:color w:val="231F20"/>
        </w:rPr>
        <w:t>810</w:t>
      </w:r>
      <w:r>
        <w:rPr>
          <w:color w:val="231F20"/>
        </w:rPr>
        <w:t xml:space="preserve"> S.E.2d </w:t>
      </w:r>
      <w:r w:rsidR="00C93EDF">
        <w:rPr>
          <w:color w:val="231F20"/>
        </w:rPr>
        <w:t>462</w:t>
      </w:r>
      <w:r>
        <w:rPr>
          <w:color w:val="231F20"/>
        </w:rPr>
        <w:t>.</w:t>
      </w:r>
    </w:p>
    <w:p w14:paraId="388CBA68" w14:textId="77777777" w:rsidR="009910CD" w:rsidRDefault="00C93EDF" w:rsidP="00E84432">
      <w:pPr>
        <w:pStyle w:val="BodyText"/>
        <w:spacing w:before="120" w:after="120"/>
        <w:ind w:left="1440"/>
        <w:jc w:val="both"/>
        <w:rPr>
          <w:color w:val="231F20"/>
        </w:rPr>
      </w:pPr>
      <w:r>
        <w:rPr>
          <w:color w:val="231F20"/>
        </w:rPr>
        <w:t xml:space="preserve">In this product liability action plaintiff failed to present sufficient evidence for jury issue as to whether proposed redesign was in fact safer overall thereby </w:t>
      </w:r>
      <w:r w:rsidR="00D95048">
        <w:rPr>
          <w:color w:val="231F20"/>
        </w:rPr>
        <w:t>cons</w:t>
      </w:r>
      <w:r w:rsidR="003F6C1E">
        <w:rPr>
          <w:color w:val="231F20"/>
        </w:rPr>
        <w:t>t</w:t>
      </w:r>
      <w:r w:rsidR="00D95048">
        <w:rPr>
          <w:color w:val="231F20"/>
        </w:rPr>
        <w:t>ituting</w:t>
      </w:r>
      <w:r>
        <w:rPr>
          <w:color w:val="231F20"/>
        </w:rPr>
        <w:t xml:space="preserve"> specific defect i.e., unreasonable danger</w:t>
      </w:r>
      <w:r w:rsidR="00FC2690">
        <w:rPr>
          <w:color w:val="231F20"/>
        </w:rPr>
        <w:t>.</w:t>
      </w:r>
    </w:p>
    <w:p w14:paraId="09D80CA3" w14:textId="77777777" w:rsidR="00E02F71" w:rsidRPr="00ED1338" w:rsidRDefault="00E02F71"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8.17</w:t>
      </w:r>
      <w:r>
        <w:rPr>
          <w:color w:val="231F20"/>
        </w:rPr>
        <w:tab/>
        <w:t>Warranties</w:t>
      </w:r>
    </w:p>
    <w:p w14:paraId="40698F6C" w14:textId="77777777" w:rsidR="00E02F71" w:rsidRDefault="00E02F71" w:rsidP="00AF062B">
      <w:pPr>
        <w:tabs>
          <w:tab w:val="left" w:pos="2121"/>
        </w:tabs>
        <w:spacing w:before="86"/>
        <w:ind w:left="1170" w:hanging="450"/>
        <w:rPr>
          <w:b/>
        </w:rPr>
      </w:pPr>
      <w:r>
        <w:rPr>
          <w:b/>
          <w:color w:val="231F20"/>
        </w:rPr>
        <w:t>[3]</w:t>
      </w:r>
      <w:r>
        <w:rPr>
          <w:b/>
          <w:color w:val="231F20"/>
        </w:rPr>
        <w:tab/>
        <w:t>Express</w:t>
      </w:r>
      <w:r>
        <w:rPr>
          <w:b/>
          <w:color w:val="231F20"/>
          <w:spacing w:val="-6"/>
        </w:rPr>
        <w:t xml:space="preserve"> </w:t>
      </w:r>
      <w:r>
        <w:rPr>
          <w:b/>
          <w:color w:val="231F20"/>
        </w:rPr>
        <w:t>Warranty</w:t>
      </w:r>
    </w:p>
    <w:p w14:paraId="2CB003A5" w14:textId="77777777" w:rsidR="00E02F71" w:rsidRDefault="00E02F71" w:rsidP="000C3931">
      <w:pPr>
        <w:spacing w:before="139" w:line="240" w:lineRule="exact"/>
        <w:ind w:left="720" w:right="676"/>
      </w:pPr>
      <w:r>
        <w:rPr>
          <w:color w:val="231F20"/>
        </w:rPr>
        <w:t>2011—</w:t>
      </w:r>
      <w:r>
        <w:rPr>
          <w:i/>
          <w:color w:val="231F20"/>
        </w:rPr>
        <w:t>Royal Indemnity Company v. Tyco Fire Products</w:t>
      </w:r>
      <w:r>
        <w:rPr>
          <w:color w:val="231F20"/>
        </w:rPr>
        <w:t>, 281 Va. 157, 704 S.E.2d 91.</w:t>
      </w:r>
    </w:p>
    <w:p w14:paraId="77888982" w14:textId="77777777" w:rsidR="00E02F71" w:rsidRPr="00130C4A" w:rsidRDefault="00E02F71" w:rsidP="00E84432">
      <w:pPr>
        <w:pStyle w:val="BodyText"/>
        <w:spacing w:before="120" w:after="120"/>
        <w:ind w:left="1440"/>
        <w:jc w:val="both"/>
        <w:rPr>
          <w:color w:val="231F20"/>
        </w:rPr>
      </w:pPr>
      <w:r>
        <w:rPr>
          <w:color w:val="231F20"/>
        </w:rPr>
        <w:t>Manufacturer’s</w:t>
      </w:r>
      <w:r w:rsidRPr="00130C4A">
        <w:rPr>
          <w:color w:val="231F20"/>
        </w:rPr>
        <w:t xml:space="preserve"> </w:t>
      </w:r>
      <w:r>
        <w:rPr>
          <w:color w:val="231F20"/>
        </w:rPr>
        <w:t>description</w:t>
      </w:r>
      <w:r w:rsidRPr="00130C4A">
        <w:rPr>
          <w:color w:val="231F20"/>
        </w:rPr>
        <w:t xml:space="preserve"> </w:t>
      </w:r>
      <w:r>
        <w:rPr>
          <w:color w:val="231F20"/>
        </w:rPr>
        <w:t>of</w:t>
      </w:r>
      <w:r w:rsidRPr="00130C4A">
        <w:rPr>
          <w:color w:val="231F20"/>
        </w:rPr>
        <w:t xml:space="preserve"> </w:t>
      </w:r>
      <w:r>
        <w:rPr>
          <w:color w:val="231F20"/>
        </w:rPr>
        <w:t>how</w:t>
      </w:r>
      <w:r w:rsidRPr="00130C4A">
        <w:rPr>
          <w:color w:val="231F20"/>
        </w:rPr>
        <w:t xml:space="preserve"> </w:t>
      </w:r>
      <w:r>
        <w:rPr>
          <w:color w:val="231F20"/>
        </w:rPr>
        <w:t>sprinkler</w:t>
      </w:r>
      <w:r w:rsidRPr="00130C4A">
        <w:rPr>
          <w:color w:val="231F20"/>
        </w:rPr>
        <w:t xml:space="preserve"> </w:t>
      </w:r>
      <w:r>
        <w:rPr>
          <w:color w:val="231F20"/>
        </w:rPr>
        <w:t>head</w:t>
      </w:r>
      <w:r w:rsidRPr="00130C4A">
        <w:rPr>
          <w:color w:val="231F20"/>
        </w:rPr>
        <w:t xml:space="preserve"> </w:t>
      </w:r>
      <w:r>
        <w:rPr>
          <w:color w:val="231F20"/>
        </w:rPr>
        <w:t>functions</w:t>
      </w:r>
      <w:r w:rsidRPr="00130C4A">
        <w:rPr>
          <w:color w:val="231F20"/>
        </w:rPr>
        <w:t xml:space="preserve"> </w:t>
      </w:r>
      <w:r>
        <w:rPr>
          <w:color w:val="231F20"/>
        </w:rPr>
        <w:t>does</w:t>
      </w:r>
      <w:r w:rsidRPr="00130C4A">
        <w:rPr>
          <w:color w:val="231F20"/>
        </w:rPr>
        <w:t xml:space="preserve"> </w:t>
      </w:r>
      <w:r>
        <w:rPr>
          <w:color w:val="231F20"/>
        </w:rPr>
        <w:t>not constitute express warranty of future performance.</w:t>
      </w:r>
    </w:p>
    <w:p w14:paraId="4C1045C0" w14:textId="77777777" w:rsidR="003D5ECF" w:rsidRDefault="003D5ECF">
      <w:pPr>
        <w:rPr>
          <w:b/>
          <w:bCs/>
          <w:color w:val="231F20"/>
          <w:sz w:val="40"/>
          <w:szCs w:val="40"/>
        </w:rPr>
      </w:pPr>
      <w:r>
        <w:rPr>
          <w:color w:val="231F20"/>
        </w:rPr>
        <w:br w:type="page"/>
      </w:r>
    </w:p>
    <w:p w14:paraId="2750A49A" w14:textId="77777777" w:rsidR="00430D9B" w:rsidRDefault="00FC2690" w:rsidP="00430D9B">
      <w:pPr>
        <w:pStyle w:val="Heading1"/>
        <w:spacing w:line="321" w:lineRule="auto"/>
        <w:ind w:left="0" w:right="0" w:firstLine="0"/>
        <w:jc w:val="center"/>
        <w:rPr>
          <w:color w:val="231F20"/>
        </w:rPr>
      </w:pPr>
      <w:r>
        <w:rPr>
          <w:color w:val="231F20"/>
        </w:rPr>
        <w:lastRenderedPageBreak/>
        <w:t xml:space="preserve">Chapter 9 </w:t>
      </w:r>
    </w:p>
    <w:p w14:paraId="5BC77738" w14:textId="77777777" w:rsidR="009910CD" w:rsidRDefault="00FC2690" w:rsidP="00430D9B">
      <w:pPr>
        <w:pStyle w:val="Heading1"/>
        <w:spacing w:line="321" w:lineRule="auto"/>
        <w:ind w:left="0" w:right="0" w:firstLine="0"/>
        <w:jc w:val="center"/>
      </w:pPr>
      <w:r>
        <w:rPr>
          <w:color w:val="231F20"/>
        </w:rPr>
        <w:t>MEDICAL MALPRACTICE</w:t>
      </w:r>
    </w:p>
    <w:p w14:paraId="0E357FEE"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9.11</w:t>
      </w:r>
      <w:r w:rsidRPr="00ED1338">
        <w:rPr>
          <w:color w:val="231F20"/>
        </w:rPr>
        <w:tab/>
      </w:r>
      <w:r>
        <w:rPr>
          <w:color w:val="231F20"/>
        </w:rPr>
        <w:t>Consent</w:t>
      </w:r>
    </w:p>
    <w:p w14:paraId="7D213C50" w14:textId="29B590EF" w:rsidR="002C3DC8" w:rsidRDefault="002C3DC8" w:rsidP="002C3DC8">
      <w:pPr>
        <w:spacing w:before="141" w:line="250" w:lineRule="exact"/>
        <w:ind w:left="720" w:right="821"/>
      </w:pPr>
      <w:r>
        <w:rPr>
          <w:color w:val="231F20"/>
        </w:rPr>
        <w:t>2022—</w:t>
      </w:r>
      <w:r>
        <w:rPr>
          <w:i/>
          <w:color w:val="231F20"/>
        </w:rPr>
        <w:t>Pergo</w:t>
      </w:r>
      <w:r w:rsidR="009933B8">
        <w:rPr>
          <w:i/>
          <w:color w:val="231F20"/>
        </w:rPr>
        <w:t>lizzi</w:t>
      </w:r>
      <w:r>
        <w:rPr>
          <w:i/>
          <w:color w:val="231F20"/>
        </w:rPr>
        <w:t xml:space="preserve"> v. </w:t>
      </w:r>
      <w:r w:rsidR="009933B8">
        <w:rPr>
          <w:i/>
          <w:color w:val="231F20"/>
        </w:rPr>
        <w:t>Bowman</w:t>
      </w:r>
      <w:r>
        <w:rPr>
          <w:color w:val="231F20"/>
        </w:rPr>
        <w:t xml:space="preserve">, 76 Va. App. </w:t>
      </w:r>
      <w:r w:rsidR="009933B8">
        <w:rPr>
          <w:color w:val="231F20"/>
        </w:rPr>
        <w:t>310</w:t>
      </w:r>
      <w:r>
        <w:rPr>
          <w:color w:val="231F20"/>
        </w:rPr>
        <w:t>, 88</w:t>
      </w:r>
      <w:r w:rsidR="009933B8">
        <w:rPr>
          <w:color w:val="231F20"/>
        </w:rPr>
        <w:t>2</w:t>
      </w:r>
      <w:r>
        <w:rPr>
          <w:color w:val="231F20"/>
        </w:rPr>
        <w:t xml:space="preserve"> S.E.2d 1.</w:t>
      </w:r>
    </w:p>
    <w:p w14:paraId="004A3948" w14:textId="28E451C5" w:rsidR="002C3DC8" w:rsidRDefault="009933B8" w:rsidP="009933B8">
      <w:pPr>
        <w:spacing w:before="141" w:line="250" w:lineRule="exact"/>
        <w:ind w:left="1440"/>
        <w:jc w:val="both"/>
        <w:rPr>
          <w:color w:val="231F20"/>
        </w:rPr>
      </w:pPr>
      <w:r>
        <w:rPr>
          <w:color w:val="231F20"/>
        </w:rPr>
        <w:t>Informed consent claim cannot be based upon doctor’s failure to inform patient that doctor may have made a misdiagnosis.  An element of informed consent is whether the plaintiff herself, not an objective reasonable person, would have elected alternative treatment if adequate information had been conveyed by the physician.</w:t>
      </w:r>
    </w:p>
    <w:p w14:paraId="3579861C" w14:textId="3A84363B" w:rsidR="00D1717B" w:rsidRDefault="002C3DC8" w:rsidP="000C3931">
      <w:pPr>
        <w:spacing w:before="135"/>
        <w:ind w:left="720"/>
      </w:pPr>
      <w:r>
        <w:rPr>
          <w:color w:val="231F20"/>
        </w:rPr>
        <w:t>2</w:t>
      </w:r>
      <w:r w:rsidR="00D1717B">
        <w:rPr>
          <w:color w:val="231F20"/>
        </w:rPr>
        <w:t>017—</w:t>
      </w:r>
      <w:r w:rsidR="00D1717B">
        <w:rPr>
          <w:i/>
          <w:color w:val="231F20"/>
        </w:rPr>
        <w:t>Allison v. Brown</w:t>
      </w:r>
      <w:r w:rsidR="00D1717B">
        <w:rPr>
          <w:color w:val="231F20"/>
        </w:rPr>
        <w:t>, 293 Va. 617, 801 S.E.2d 761.</w:t>
      </w:r>
    </w:p>
    <w:p w14:paraId="121A9FF0" w14:textId="77777777" w:rsidR="00D1717B" w:rsidRDefault="00D1717B" w:rsidP="00E84432">
      <w:pPr>
        <w:pStyle w:val="BodyText"/>
        <w:spacing w:before="120" w:after="120"/>
        <w:ind w:left="1440"/>
        <w:jc w:val="both"/>
        <w:rPr>
          <w:color w:val="231F20"/>
        </w:rPr>
      </w:pPr>
      <w:r>
        <w:rPr>
          <w:color w:val="231F20"/>
        </w:rPr>
        <w:t>In regards to informed consent claim plaintiff presented no evidence that lack of disclosures prevented plaintiff from making an informed decision or that she would not have elected to have the surgery if the proper disclosure had been made.  Without evidence to establish</w:t>
      </w:r>
      <w:r w:rsidR="00621C6B">
        <w:rPr>
          <w:color w:val="231F20"/>
        </w:rPr>
        <w:t xml:space="preserve"> proximate cause the claim fails as a matter of law.  </w:t>
      </w:r>
    </w:p>
    <w:p w14:paraId="227683C5" w14:textId="77777777" w:rsidR="009910CD" w:rsidRDefault="00FC2690" w:rsidP="000C3931">
      <w:pPr>
        <w:spacing w:before="127"/>
        <w:ind w:left="720"/>
      </w:pPr>
      <w:r>
        <w:rPr>
          <w:color w:val="231F20"/>
        </w:rPr>
        <w:t>2014—</w:t>
      </w:r>
      <w:r>
        <w:rPr>
          <w:i/>
          <w:color w:val="231F20"/>
        </w:rPr>
        <w:t>Fiorucci v.</w:t>
      </w:r>
      <w:r w:rsidR="00B64C57">
        <w:rPr>
          <w:i/>
          <w:color w:val="231F20"/>
        </w:rPr>
        <w:t xml:space="preserve"> </w:t>
      </w:r>
      <w:r>
        <w:rPr>
          <w:i/>
          <w:color w:val="231F20"/>
        </w:rPr>
        <w:t>Chinn</w:t>
      </w:r>
      <w:r>
        <w:rPr>
          <w:color w:val="231F20"/>
        </w:rPr>
        <w:t xml:space="preserve">, </w:t>
      </w:r>
      <w:r w:rsidR="003E2AAF" w:rsidRPr="003E2AAF">
        <w:rPr>
          <w:color w:val="231F20"/>
        </w:rPr>
        <w:t>288 Va. 444</w:t>
      </w:r>
      <w:r w:rsidR="003E2AAF">
        <w:rPr>
          <w:rFonts w:ascii="Georgia" w:hAnsi="Georgia"/>
          <w:color w:val="212121"/>
          <w:sz w:val="21"/>
          <w:szCs w:val="21"/>
        </w:rPr>
        <w:t xml:space="preserve">, </w:t>
      </w:r>
      <w:r>
        <w:rPr>
          <w:color w:val="231F20"/>
        </w:rPr>
        <w:t>764 S.E.2d 85.</w:t>
      </w:r>
    </w:p>
    <w:p w14:paraId="37A9DE48" w14:textId="77777777" w:rsidR="009910CD" w:rsidRPr="00130C4A" w:rsidRDefault="00FC2690" w:rsidP="00E84432">
      <w:pPr>
        <w:pStyle w:val="BodyText"/>
        <w:spacing w:before="120" w:after="120"/>
        <w:ind w:left="1440"/>
        <w:jc w:val="both"/>
        <w:rPr>
          <w:color w:val="231F20"/>
        </w:rPr>
      </w:pPr>
      <w:r>
        <w:rPr>
          <w:color w:val="231F20"/>
        </w:rPr>
        <w:t>Dental malpractice case where trial</w:t>
      </w:r>
      <w:r w:rsidR="00103F1A">
        <w:rPr>
          <w:color w:val="231F20"/>
        </w:rPr>
        <w:t xml:space="preserve"> court properly excluded infor</w:t>
      </w:r>
      <w:r>
        <w:rPr>
          <w:color w:val="231F20"/>
        </w:rPr>
        <w:t>mation given to patient in advance about the risk of the</w:t>
      </w:r>
      <w:r w:rsidR="00B64C57">
        <w:rPr>
          <w:color w:val="231F20"/>
        </w:rPr>
        <w:t xml:space="preserve"> </w:t>
      </w:r>
      <w:r>
        <w:rPr>
          <w:color w:val="231F20"/>
        </w:rPr>
        <w:t>extraction.</w:t>
      </w:r>
    </w:p>
    <w:p w14:paraId="0AC12F19"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9.15</w:t>
      </w:r>
      <w:r>
        <w:rPr>
          <w:color w:val="231F20"/>
        </w:rPr>
        <w:tab/>
        <w:t xml:space="preserve">Expert </w:t>
      </w:r>
      <w:r w:rsidRPr="00ED1338">
        <w:rPr>
          <w:color w:val="231F20"/>
        </w:rPr>
        <w:t xml:space="preserve">Testimony </w:t>
      </w:r>
      <w:r>
        <w:rPr>
          <w:color w:val="231F20"/>
        </w:rPr>
        <w:t>Required</w:t>
      </w:r>
    </w:p>
    <w:p w14:paraId="30389BBD" w14:textId="77777777" w:rsidR="007C2B76" w:rsidRDefault="007C2B76" w:rsidP="000C3931">
      <w:pPr>
        <w:spacing w:before="135"/>
        <w:ind w:left="720"/>
      </w:pPr>
      <w:r>
        <w:rPr>
          <w:color w:val="231F20"/>
        </w:rPr>
        <w:t>2017—</w:t>
      </w:r>
      <w:r>
        <w:rPr>
          <w:i/>
          <w:color w:val="231F20"/>
        </w:rPr>
        <w:t>Summers v. Syptak</w:t>
      </w:r>
      <w:r>
        <w:rPr>
          <w:color w:val="231F20"/>
        </w:rPr>
        <w:t>, 293 Va. 606, 801 S.E.2d 422.</w:t>
      </w:r>
    </w:p>
    <w:p w14:paraId="06BB6A58" w14:textId="77777777" w:rsidR="007C2B76" w:rsidRDefault="007C2B76" w:rsidP="00E84432">
      <w:pPr>
        <w:pStyle w:val="BodyText"/>
        <w:spacing w:before="120" w:after="120"/>
        <w:ind w:left="1440"/>
        <w:jc w:val="both"/>
        <w:rPr>
          <w:color w:val="231F20"/>
        </w:rPr>
      </w:pPr>
      <w:r>
        <w:rPr>
          <w:color w:val="231F20"/>
        </w:rPr>
        <w:t>Plaintiff alleged certain inappropriate statements made by a family practice doctor.  At summary judgment stage plaintiff was required to present expert opinion establishing that statements were a proximate cause of injury.  Failure to do so justified entry of summary judgment.</w:t>
      </w:r>
    </w:p>
    <w:p w14:paraId="5EEB6CC9" w14:textId="77777777" w:rsidR="009910CD" w:rsidRDefault="00FC2690" w:rsidP="000C3931">
      <w:pPr>
        <w:spacing w:before="136"/>
        <w:ind w:left="720"/>
      </w:pPr>
      <w:r>
        <w:rPr>
          <w:color w:val="231F20"/>
        </w:rPr>
        <w:t>2012—</w:t>
      </w:r>
      <w:r>
        <w:rPr>
          <w:i/>
          <w:color w:val="231F20"/>
        </w:rPr>
        <w:t>Bowman v.</w:t>
      </w:r>
      <w:r w:rsidR="00B64C57">
        <w:rPr>
          <w:i/>
          <w:color w:val="231F20"/>
        </w:rPr>
        <w:t xml:space="preserve"> </w:t>
      </w:r>
      <w:r>
        <w:rPr>
          <w:i/>
          <w:color w:val="231F20"/>
        </w:rPr>
        <w:t>Concepcion</w:t>
      </w:r>
      <w:r>
        <w:rPr>
          <w:color w:val="231F20"/>
        </w:rPr>
        <w:t>, 283 Va.</w:t>
      </w:r>
      <w:r w:rsidR="00B64C57">
        <w:rPr>
          <w:color w:val="231F20"/>
        </w:rPr>
        <w:t xml:space="preserve"> </w:t>
      </w:r>
      <w:r>
        <w:rPr>
          <w:color w:val="231F20"/>
        </w:rPr>
        <w:t>552, 722 S.E.2d</w:t>
      </w:r>
      <w:r w:rsidR="00B64C57">
        <w:rPr>
          <w:color w:val="231F20"/>
        </w:rPr>
        <w:t xml:space="preserve"> </w:t>
      </w:r>
      <w:r>
        <w:rPr>
          <w:color w:val="231F20"/>
        </w:rPr>
        <w:t>260.</w:t>
      </w:r>
    </w:p>
    <w:p w14:paraId="08B94B6A" w14:textId="77777777" w:rsidR="009910CD" w:rsidRPr="00130C4A" w:rsidRDefault="00FC2690" w:rsidP="00E84432">
      <w:pPr>
        <w:pStyle w:val="BodyText"/>
        <w:spacing w:before="120" w:after="120"/>
        <w:ind w:left="1440"/>
        <w:jc w:val="both"/>
        <w:rPr>
          <w:color w:val="231F20"/>
        </w:rPr>
      </w:pPr>
      <w:r>
        <w:rPr>
          <w:color w:val="231F20"/>
        </w:rPr>
        <w:t>Statutes</w:t>
      </w:r>
      <w:r w:rsidRPr="00130C4A">
        <w:rPr>
          <w:color w:val="231F20"/>
        </w:rPr>
        <w:t xml:space="preserve"> </w:t>
      </w:r>
      <w:r>
        <w:rPr>
          <w:color w:val="231F20"/>
        </w:rPr>
        <w:t>and</w:t>
      </w:r>
      <w:r w:rsidRPr="00130C4A">
        <w:rPr>
          <w:color w:val="231F20"/>
        </w:rPr>
        <w:t xml:space="preserve"> </w:t>
      </w:r>
      <w:r>
        <w:rPr>
          <w:color w:val="231F20"/>
        </w:rPr>
        <w:t>rule</w:t>
      </w:r>
      <w:r w:rsidRPr="00130C4A">
        <w:rPr>
          <w:color w:val="231F20"/>
        </w:rPr>
        <w:t xml:space="preserve"> </w:t>
      </w:r>
      <w:r>
        <w:rPr>
          <w:color w:val="231F20"/>
        </w:rPr>
        <w:t>requiring</w:t>
      </w:r>
      <w:r w:rsidRPr="00130C4A">
        <w:rPr>
          <w:color w:val="231F20"/>
        </w:rPr>
        <w:t xml:space="preserve"> </w:t>
      </w:r>
      <w:r>
        <w:rPr>
          <w:color w:val="231F20"/>
        </w:rPr>
        <w:t>service</w:t>
      </w:r>
      <w:r w:rsidRPr="00130C4A">
        <w:rPr>
          <w:color w:val="231F20"/>
        </w:rPr>
        <w:t xml:space="preserve"> </w:t>
      </w:r>
      <w:r>
        <w:rPr>
          <w:color w:val="231F20"/>
        </w:rPr>
        <w:t>of</w:t>
      </w:r>
      <w:r w:rsidRPr="00130C4A">
        <w:rPr>
          <w:color w:val="231F20"/>
        </w:rPr>
        <w:t xml:space="preserve"> </w:t>
      </w:r>
      <w:r>
        <w:rPr>
          <w:color w:val="231F20"/>
        </w:rPr>
        <w:t>process</w:t>
      </w:r>
      <w:r w:rsidRPr="00130C4A">
        <w:rPr>
          <w:color w:val="231F20"/>
        </w:rPr>
        <w:t xml:space="preserve"> </w:t>
      </w:r>
      <w:r>
        <w:rPr>
          <w:color w:val="231F20"/>
        </w:rPr>
        <w:t>within</w:t>
      </w:r>
      <w:r w:rsidRPr="00130C4A">
        <w:rPr>
          <w:color w:val="231F20"/>
        </w:rPr>
        <w:t xml:space="preserve"> </w:t>
      </w:r>
      <w:r>
        <w:rPr>
          <w:color w:val="231F20"/>
        </w:rPr>
        <w:t>one</w:t>
      </w:r>
      <w:r w:rsidRPr="00130C4A">
        <w:rPr>
          <w:color w:val="231F20"/>
        </w:rPr>
        <w:t xml:space="preserve"> </w:t>
      </w:r>
      <w:r>
        <w:rPr>
          <w:color w:val="231F20"/>
        </w:rPr>
        <w:t>year</w:t>
      </w:r>
      <w:r w:rsidRPr="00130C4A">
        <w:rPr>
          <w:color w:val="231F20"/>
        </w:rPr>
        <w:t xml:space="preserve"> </w:t>
      </w:r>
      <w:r>
        <w:rPr>
          <w:color w:val="231F20"/>
        </w:rPr>
        <w:t>cannot be overridden by trial court without finding that Plaintiff has exercised due diligence as to service. In this medical malpractice case, Claimant did not serve defendant within one year of filing because plaintiff did not have required expert witness statement. Plaintiff could have non-suited prior to dismissal. In this case, dismissal with prejudice was</w:t>
      </w:r>
      <w:r w:rsidRPr="00130C4A">
        <w:rPr>
          <w:color w:val="231F20"/>
        </w:rPr>
        <w:t xml:space="preserve"> </w:t>
      </w:r>
      <w:r>
        <w:rPr>
          <w:color w:val="231F20"/>
        </w:rPr>
        <w:t>proper.</w:t>
      </w:r>
    </w:p>
    <w:p w14:paraId="478EE6AB"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9.27</w:t>
      </w:r>
      <w:r>
        <w:rPr>
          <w:color w:val="231F20"/>
        </w:rPr>
        <w:tab/>
        <w:t>Physician and Patient</w:t>
      </w:r>
      <w:r w:rsidRPr="00ED1338">
        <w:rPr>
          <w:color w:val="231F20"/>
        </w:rPr>
        <w:t xml:space="preserve"> </w:t>
      </w:r>
      <w:r>
        <w:rPr>
          <w:color w:val="231F20"/>
        </w:rPr>
        <w:t>Relationship</w:t>
      </w:r>
    </w:p>
    <w:p w14:paraId="5033FAB2" w14:textId="77777777" w:rsidR="009910CD" w:rsidRDefault="00FC2690" w:rsidP="000C3931">
      <w:pPr>
        <w:spacing w:before="136"/>
        <w:ind w:left="720"/>
      </w:pPr>
      <w:r>
        <w:rPr>
          <w:color w:val="231F20"/>
        </w:rPr>
        <w:t>2014—</w:t>
      </w:r>
      <w:r>
        <w:rPr>
          <w:i/>
          <w:color w:val="231F20"/>
        </w:rPr>
        <w:t>Simpson v.</w:t>
      </w:r>
      <w:r w:rsidR="00B64C57">
        <w:rPr>
          <w:i/>
          <w:color w:val="231F20"/>
        </w:rPr>
        <w:t xml:space="preserve"> </w:t>
      </w:r>
      <w:r>
        <w:rPr>
          <w:i/>
          <w:color w:val="231F20"/>
        </w:rPr>
        <w:t>Roberts</w:t>
      </w:r>
      <w:r>
        <w:rPr>
          <w:color w:val="231F20"/>
        </w:rPr>
        <w:t>, 287 Va.</w:t>
      </w:r>
      <w:r w:rsidR="00B64C57">
        <w:rPr>
          <w:color w:val="231F20"/>
        </w:rPr>
        <w:t xml:space="preserve"> </w:t>
      </w:r>
      <w:r>
        <w:rPr>
          <w:color w:val="231F20"/>
        </w:rPr>
        <w:t>34, 752 S.E.2d</w:t>
      </w:r>
      <w:r w:rsidR="00B64C57">
        <w:rPr>
          <w:color w:val="231F20"/>
        </w:rPr>
        <w:t xml:space="preserve"> </w:t>
      </w:r>
      <w:r>
        <w:rPr>
          <w:color w:val="231F20"/>
        </w:rPr>
        <w:t>801.</w:t>
      </w:r>
    </w:p>
    <w:p w14:paraId="752570ED" w14:textId="77777777" w:rsidR="009910CD" w:rsidRPr="00130C4A" w:rsidRDefault="00FC2690" w:rsidP="00E84432">
      <w:pPr>
        <w:pStyle w:val="BodyText"/>
        <w:spacing w:before="120" w:after="120"/>
        <w:ind w:left="1440"/>
        <w:jc w:val="both"/>
        <w:rPr>
          <w:color w:val="231F20"/>
        </w:rPr>
      </w:pPr>
      <w:r>
        <w:rPr>
          <w:color w:val="231F20"/>
        </w:rPr>
        <w:t>Doctor performs amniocentesis and severely injures the fetus. Jury verdict of $7 million is reduced to the cap. Physician-patient relationship held to exist between doctor and</w:t>
      </w:r>
      <w:r w:rsidR="00B64C57">
        <w:rPr>
          <w:color w:val="231F20"/>
        </w:rPr>
        <w:t xml:space="preserve"> </w:t>
      </w:r>
      <w:r>
        <w:rPr>
          <w:color w:val="231F20"/>
        </w:rPr>
        <w:t>fetus.</w:t>
      </w:r>
    </w:p>
    <w:p w14:paraId="386A3460" w14:textId="77777777" w:rsidR="009910CD" w:rsidRDefault="009910CD">
      <w:pPr>
        <w:pStyle w:val="BodyText"/>
        <w:spacing w:before="4"/>
        <w:rPr>
          <w:sz w:val="26"/>
        </w:rPr>
      </w:pPr>
    </w:p>
    <w:p w14:paraId="5D681F84" w14:textId="77777777" w:rsidR="003D5ECF" w:rsidRDefault="003D5ECF">
      <w:pPr>
        <w:rPr>
          <w:b/>
          <w:bCs/>
          <w:color w:val="231F20"/>
          <w:sz w:val="40"/>
          <w:szCs w:val="40"/>
        </w:rPr>
      </w:pPr>
      <w:r>
        <w:rPr>
          <w:color w:val="231F20"/>
        </w:rPr>
        <w:br w:type="page"/>
      </w:r>
    </w:p>
    <w:p w14:paraId="7E8DE038" w14:textId="77777777" w:rsidR="009910CD" w:rsidRDefault="00FC2690">
      <w:pPr>
        <w:pStyle w:val="Heading1"/>
        <w:spacing w:line="328" w:lineRule="auto"/>
        <w:ind w:left="1708" w:right="1127" w:firstLine="1998"/>
      </w:pPr>
      <w:r>
        <w:rPr>
          <w:color w:val="231F20"/>
        </w:rPr>
        <w:lastRenderedPageBreak/>
        <w:t>Chapter 10 NONMEDICAL MALPRACTICE</w:t>
      </w:r>
    </w:p>
    <w:p w14:paraId="23DFB94F" w14:textId="77777777" w:rsidR="001D6B3F" w:rsidRPr="00ED1338" w:rsidRDefault="001D6B3F"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10.0</w:t>
      </w:r>
      <w:r w:rsidR="00804C70">
        <w:rPr>
          <w:color w:val="231F20"/>
        </w:rPr>
        <w:t>1</w:t>
      </w:r>
      <w:r>
        <w:rPr>
          <w:color w:val="231F20"/>
        </w:rPr>
        <w:tab/>
        <w:t>Architects</w:t>
      </w:r>
    </w:p>
    <w:p w14:paraId="58D4D401" w14:textId="77777777" w:rsidR="001D6B3F" w:rsidRDefault="001D6B3F" w:rsidP="000C3931">
      <w:pPr>
        <w:spacing w:before="136"/>
        <w:ind w:left="720"/>
      </w:pPr>
      <w:r>
        <w:rPr>
          <w:color w:val="231F20"/>
        </w:rPr>
        <w:t>2016—</w:t>
      </w:r>
      <w:r>
        <w:rPr>
          <w:i/>
          <w:color w:val="231F20"/>
        </w:rPr>
        <w:t>William H. Gordon Assoc., Inc., v. Heritage Fellowship</w:t>
      </w:r>
      <w:r>
        <w:rPr>
          <w:color w:val="231F20"/>
        </w:rPr>
        <w:t>, 291 Va. 122, 784 S.E.2d 265.</w:t>
      </w:r>
    </w:p>
    <w:p w14:paraId="77D60F10" w14:textId="77777777" w:rsidR="001D6B3F" w:rsidRPr="00473AA3" w:rsidRDefault="00CD3278" w:rsidP="00E84432">
      <w:pPr>
        <w:pStyle w:val="BodyText"/>
        <w:spacing w:before="120" w:after="120"/>
        <w:ind w:left="1440"/>
        <w:jc w:val="both"/>
        <w:rPr>
          <w:color w:val="231F20"/>
        </w:rPr>
      </w:pPr>
      <w:r>
        <w:rPr>
          <w:color w:val="231F20"/>
        </w:rPr>
        <w:t>Suit against engineers and others was governed by a five-year statute of limitations.  Trial court properly concluded that there was a breach of the standard of care by the engineer for failure to comply with certain state administrative regulations and other standards.</w:t>
      </w:r>
    </w:p>
    <w:p w14:paraId="6A0CDDCF"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10.02</w:t>
      </w:r>
      <w:r>
        <w:rPr>
          <w:color w:val="231F20"/>
        </w:rPr>
        <w:tab/>
        <w:t>Attorneys</w:t>
      </w:r>
    </w:p>
    <w:p w14:paraId="0AA637ED" w14:textId="77777777" w:rsidR="00804C70" w:rsidRDefault="00804C70" w:rsidP="00AF062B">
      <w:pPr>
        <w:pStyle w:val="ListParagraph"/>
        <w:numPr>
          <w:ilvl w:val="0"/>
          <w:numId w:val="36"/>
        </w:numPr>
        <w:spacing w:before="97"/>
        <w:ind w:left="1170" w:hanging="450"/>
        <w:rPr>
          <w:b/>
        </w:rPr>
      </w:pPr>
      <w:r>
        <w:rPr>
          <w:b/>
        </w:rPr>
        <w:t>Creation of Attorney-Client Relationship</w:t>
      </w:r>
    </w:p>
    <w:p w14:paraId="25BC3DE4" w14:textId="77777777" w:rsidR="00804C70" w:rsidRPr="004B33E2" w:rsidRDefault="00804C70" w:rsidP="000C3931">
      <w:pPr>
        <w:tabs>
          <w:tab w:val="left" w:pos="2041"/>
          <w:tab w:val="left" w:pos="2042"/>
        </w:tabs>
        <w:spacing w:before="97"/>
        <w:ind w:left="720"/>
        <w:rPr>
          <w:color w:val="231F20"/>
        </w:rPr>
      </w:pPr>
      <w:r w:rsidRPr="004B33E2">
        <w:t>2016</w:t>
      </w:r>
      <w:r w:rsidRPr="004B33E2">
        <w:rPr>
          <w:color w:val="231F20"/>
        </w:rPr>
        <w:t>—</w:t>
      </w:r>
      <w:r w:rsidRPr="004B33E2">
        <w:rPr>
          <w:i/>
          <w:color w:val="231F20"/>
        </w:rPr>
        <w:t>Thorsen v. Richmond SPCA</w:t>
      </w:r>
      <w:r w:rsidRPr="004B33E2">
        <w:rPr>
          <w:color w:val="231F20"/>
        </w:rPr>
        <w:t xml:space="preserve">, </w:t>
      </w:r>
      <w:r w:rsidR="004B33E2" w:rsidRPr="004B33E2">
        <w:rPr>
          <w:color w:val="231F20"/>
        </w:rPr>
        <w:t>292 Va. 257</w:t>
      </w:r>
      <w:r w:rsidR="004B33E2">
        <w:rPr>
          <w:color w:val="231F20"/>
        </w:rPr>
        <w:t>, 786 S.E.2d 453</w:t>
      </w:r>
      <w:r w:rsidR="004B33E2" w:rsidRPr="004B33E2">
        <w:rPr>
          <w:color w:val="231F20"/>
        </w:rPr>
        <w:t>.</w:t>
      </w:r>
    </w:p>
    <w:p w14:paraId="419F0F8C" w14:textId="77777777" w:rsidR="004B33E2" w:rsidRPr="000770F3" w:rsidRDefault="004B33E2" w:rsidP="00E84432">
      <w:pPr>
        <w:pStyle w:val="BodyText"/>
        <w:spacing w:before="120" w:after="120"/>
        <w:ind w:left="1440"/>
        <w:jc w:val="both"/>
        <w:rPr>
          <w:color w:val="231F20"/>
        </w:rPr>
      </w:pPr>
      <w:r w:rsidRPr="000770F3">
        <w:rPr>
          <w:color w:val="231F20"/>
        </w:rPr>
        <w:t xml:space="preserve">Due to drafting error </w:t>
      </w:r>
      <w:r w:rsidR="000770F3" w:rsidRPr="000770F3">
        <w:rPr>
          <w:color w:val="231F20"/>
        </w:rPr>
        <w:t xml:space="preserve">in the will property did not properly pass to the plaintiff.  Plaintiff sufficiently alleged that testator sought to confer a benefit to the plaintiff </w:t>
      </w:r>
      <w:r w:rsidR="000770F3">
        <w:rPr>
          <w:color w:val="231F20"/>
        </w:rPr>
        <w:t>and therefore plaintiff was intended beneficiary and could pursue professional negligence/breach of contract claim.</w:t>
      </w:r>
    </w:p>
    <w:p w14:paraId="0E243EC9" w14:textId="77777777" w:rsidR="009910CD" w:rsidRDefault="00FC2690" w:rsidP="00833C55">
      <w:pPr>
        <w:pStyle w:val="ListParagraph"/>
        <w:numPr>
          <w:ilvl w:val="0"/>
          <w:numId w:val="36"/>
        </w:numPr>
        <w:tabs>
          <w:tab w:val="left" w:pos="2041"/>
          <w:tab w:val="left" w:pos="2042"/>
        </w:tabs>
        <w:spacing w:before="97"/>
        <w:ind w:left="1260" w:hanging="495"/>
        <w:rPr>
          <w:b/>
        </w:rPr>
      </w:pPr>
      <w:r>
        <w:rPr>
          <w:b/>
          <w:color w:val="231F20"/>
        </w:rPr>
        <w:t>Limitations</w:t>
      </w:r>
    </w:p>
    <w:p w14:paraId="1F895F17" w14:textId="389E8EA9" w:rsidR="00E25793" w:rsidRDefault="00833C55" w:rsidP="000C3931">
      <w:pPr>
        <w:spacing w:before="136"/>
        <w:ind w:left="720"/>
      </w:pPr>
      <w:r>
        <w:rPr>
          <w:color w:val="231F20"/>
        </w:rPr>
        <w:t>2024</w:t>
      </w:r>
      <w:r w:rsidR="00E25793" w:rsidRPr="00E25793">
        <w:rPr>
          <w:color w:val="231F20"/>
        </w:rPr>
        <w:t>—</w:t>
      </w:r>
      <w:r>
        <w:rPr>
          <w:i/>
          <w:color w:val="231F20"/>
        </w:rPr>
        <w:t>Smith Development, Inc.</w:t>
      </w:r>
      <w:r w:rsidR="00E25793" w:rsidRPr="00E25793">
        <w:rPr>
          <w:i/>
          <w:color w:val="231F20"/>
        </w:rPr>
        <w:t xml:space="preserve"> v.</w:t>
      </w:r>
      <w:r>
        <w:rPr>
          <w:i/>
          <w:color w:val="231F20"/>
        </w:rPr>
        <w:t xml:space="preserve"> Conway</w:t>
      </w:r>
      <w:r w:rsidR="00E25793" w:rsidRPr="00E25793">
        <w:rPr>
          <w:color w:val="231F20"/>
        </w:rPr>
        <w:t xml:space="preserve">, </w:t>
      </w:r>
      <w:r>
        <w:rPr>
          <w:color w:val="231F20"/>
        </w:rPr>
        <w:t>79</w:t>
      </w:r>
      <w:r w:rsidR="00E25793" w:rsidRPr="00E25793">
        <w:rPr>
          <w:color w:val="231F20"/>
        </w:rPr>
        <w:t xml:space="preserve"> Va. </w:t>
      </w:r>
      <w:r>
        <w:rPr>
          <w:color w:val="231F20"/>
        </w:rPr>
        <w:t>App. 360</w:t>
      </w:r>
      <w:r w:rsidR="00E25793" w:rsidRPr="00E25793">
        <w:rPr>
          <w:color w:val="231F20"/>
        </w:rPr>
        <w:t xml:space="preserve">, </w:t>
      </w:r>
      <w:r>
        <w:rPr>
          <w:color w:val="231F20"/>
        </w:rPr>
        <w:t>896</w:t>
      </w:r>
      <w:r w:rsidR="00E25793" w:rsidRPr="00E25793">
        <w:rPr>
          <w:color w:val="231F20"/>
        </w:rPr>
        <w:t xml:space="preserve"> S.E.2d </w:t>
      </w:r>
      <w:r>
        <w:rPr>
          <w:color w:val="231F20"/>
        </w:rPr>
        <w:t>88</w:t>
      </w:r>
      <w:r w:rsidR="00E25793" w:rsidRPr="00E25793">
        <w:rPr>
          <w:color w:val="231F20"/>
        </w:rPr>
        <w:t>.</w:t>
      </w:r>
    </w:p>
    <w:p w14:paraId="7411C66D" w14:textId="385415FF" w:rsidR="00E25793" w:rsidRDefault="00833C55" w:rsidP="00E84432">
      <w:pPr>
        <w:pStyle w:val="BodyText"/>
        <w:spacing w:before="120" w:after="120"/>
        <w:ind w:left="1440"/>
        <w:jc w:val="both"/>
        <w:rPr>
          <w:color w:val="231F20"/>
        </w:rPr>
      </w:pPr>
      <w:r>
        <w:rPr>
          <w:color w:val="231F20"/>
        </w:rPr>
        <w:t xml:space="preserve">Lawyer was hired for Chapter 11 bankruptcy proceeding. That was converted to a Chapter 7. There was no new written </w:t>
      </w:r>
      <w:r w:rsidR="001C0781">
        <w:rPr>
          <w:color w:val="231F20"/>
        </w:rPr>
        <w:t>r</w:t>
      </w:r>
      <w:r>
        <w:rPr>
          <w:color w:val="231F20"/>
        </w:rPr>
        <w:t xml:space="preserve">etainer </w:t>
      </w:r>
      <w:r w:rsidR="001C0781">
        <w:rPr>
          <w:color w:val="231F20"/>
        </w:rPr>
        <w:t>a</w:t>
      </w:r>
      <w:r>
        <w:rPr>
          <w:color w:val="231F20"/>
        </w:rPr>
        <w:t xml:space="preserve">greement and as such agreement between lawyer and client was deemed to be oral. Three year statute of limitations applies. </w:t>
      </w:r>
    </w:p>
    <w:p w14:paraId="29D6EEEA" w14:textId="7C1930C0" w:rsidR="00833C55" w:rsidRDefault="00833C55" w:rsidP="00833C55">
      <w:pPr>
        <w:spacing w:before="136"/>
        <w:ind w:left="720"/>
      </w:pPr>
      <w:r w:rsidRPr="00E25793">
        <w:rPr>
          <w:color w:val="231F20"/>
        </w:rPr>
        <w:t>201</w:t>
      </w:r>
      <w:r>
        <w:rPr>
          <w:color w:val="231F20"/>
        </w:rPr>
        <w:t>7</w:t>
      </w:r>
      <w:r w:rsidRPr="00E25793">
        <w:rPr>
          <w:color w:val="231F20"/>
        </w:rPr>
        <w:t>—</w:t>
      </w:r>
      <w:r>
        <w:rPr>
          <w:i/>
          <w:color w:val="231F20"/>
        </w:rPr>
        <w:t>Moonlight Enterprises, LLC</w:t>
      </w:r>
      <w:r w:rsidRPr="00E25793">
        <w:rPr>
          <w:i/>
          <w:color w:val="231F20"/>
        </w:rPr>
        <w:t xml:space="preserve"> v</w:t>
      </w:r>
      <w:r w:rsidR="00330E33">
        <w:rPr>
          <w:i/>
          <w:color w:val="231F20"/>
        </w:rPr>
        <w:t xml:space="preserve"> </w:t>
      </w:r>
      <w:r w:rsidRPr="00E25793">
        <w:rPr>
          <w:i/>
          <w:color w:val="231F20"/>
        </w:rPr>
        <w:t>.</w:t>
      </w:r>
      <w:r>
        <w:rPr>
          <w:i/>
          <w:color w:val="231F20"/>
        </w:rPr>
        <w:t>Mroz</w:t>
      </w:r>
      <w:r w:rsidRPr="00E25793">
        <w:rPr>
          <w:color w:val="231F20"/>
        </w:rPr>
        <w:t>, 2</w:t>
      </w:r>
      <w:r>
        <w:rPr>
          <w:color w:val="231F20"/>
        </w:rPr>
        <w:t>93</w:t>
      </w:r>
      <w:r w:rsidRPr="00E25793">
        <w:rPr>
          <w:color w:val="231F20"/>
        </w:rPr>
        <w:t xml:space="preserve"> Va. </w:t>
      </w:r>
      <w:r>
        <w:rPr>
          <w:color w:val="231F20"/>
        </w:rPr>
        <w:t>224</w:t>
      </w:r>
      <w:r w:rsidRPr="00E25793">
        <w:rPr>
          <w:color w:val="231F20"/>
        </w:rPr>
        <w:t xml:space="preserve">, </w:t>
      </w:r>
      <w:r>
        <w:rPr>
          <w:color w:val="231F20"/>
        </w:rPr>
        <w:t>797</w:t>
      </w:r>
      <w:r w:rsidRPr="00E25793">
        <w:rPr>
          <w:color w:val="231F20"/>
        </w:rPr>
        <w:t xml:space="preserve"> S.E.2d </w:t>
      </w:r>
      <w:r>
        <w:rPr>
          <w:color w:val="231F20"/>
        </w:rPr>
        <w:t>536</w:t>
      </w:r>
      <w:r w:rsidRPr="00E25793">
        <w:rPr>
          <w:color w:val="231F20"/>
        </w:rPr>
        <w:t>.</w:t>
      </w:r>
    </w:p>
    <w:p w14:paraId="5568A035" w14:textId="3212F324" w:rsidR="00833C55" w:rsidRPr="00473AA3" w:rsidRDefault="00833C55" w:rsidP="00E84432">
      <w:pPr>
        <w:pStyle w:val="BodyText"/>
        <w:spacing w:before="120" w:after="120"/>
        <w:ind w:left="1440"/>
        <w:jc w:val="both"/>
        <w:rPr>
          <w:color w:val="231F20"/>
        </w:rPr>
      </w:pPr>
      <w:r>
        <w:rPr>
          <w:color w:val="231F20"/>
        </w:rPr>
        <w:t>Continuous representation rule means the statute of limitations does not begin to run until the attorney’s services rendered in that particular undertaking have terminated even though the general attorney-client relationship may otherwise continue as to other matters.</w:t>
      </w:r>
    </w:p>
    <w:p w14:paraId="68F631F7" w14:textId="77777777" w:rsidR="009910CD" w:rsidRDefault="00FC2690" w:rsidP="000C3931">
      <w:pPr>
        <w:spacing w:before="136"/>
        <w:ind w:left="720"/>
      </w:pPr>
      <w:r>
        <w:rPr>
          <w:color w:val="231F20"/>
        </w:rPr>
        <w:t>2010—</w:t>
      </w:r>
      <w:r>
        <w:rPr>
          <w:i/>
          <w:color w:val="231F20"/>
        </w:rPr>
        <w:t>Van Dam v.</w:t>
      </w:r>
      <w:r w:rsidR="00B64C57">
        <w:rPr>
          <w:i/>
          <w:color w:val="231F20"/>
        </w:rPr>
        <w:t xml:space="preserve"> </w:t>
      </w:r>
      <w:r>
        <w:rPr>
          <w:i/>
          <w:color w:val="231F20"/>
        </w:rPr>
        <w:t>Gay</w:t>
      </w:r>
      <w:r>
        <w:rPr>
          <w:color w:val="231F20"/>
        </w:rPr>
        <w:t>, 280 Va.</w:t>
      </w:r>
      <w:r w:rsidR="00B64C57">
        <w:rPr>
          <w:color w:val="231F20"/>
        </w:rPr>
        <w:t xml:space="preserve"> </w:t>
      </w:r>
      <w:r>
        <w:rPr>
          <w:color w:val="231F20"/>
        </w:rPr>
        <w:t>457, 699 S.E.2d</w:t>
      </w:r>
      <w:r w:rsidR="00B64C57">
        <w:rPr>
          <w:color w:val="231F20"/>
        </w:rPr>
        <w:t xml:space="preserve"> </w:t>
      </w:r>
      <w:r>
        <w:rPr>
          <w:color w:val="231F20"/>
        </w:rPr>
        <w:t>480.</w:t>
      </w:r>
    </w:p>
    <w:p w14:paraId="47E7C000" w14:textId="77777777" w:rsidR="009910CD" w:rsidRPr="00473AA3" w:rsidRDefault="00FC2690" w:rsidP="00E84432">
      <w:pPr>
        <w:pStyle w:val="BodyText"/>
        <w:spacing w:before="120" w:after="120"/>
        <w:ind w:left="1440"/>
        <w:jc w:val="both"/>
        <w:rPr>
          <w:color w:val="231F20"/>
        </w:rPr>
      </w:pPr>
      <w:r>
        <w:rPr>
          <w:color w:val="231F20"/>
        </w:rPr>
        <w:t>Wife sued former attorney for legal malpractice in terms of drafting of property settlement agreement. Legal injury occurred when the Court entered the final decree of divorce and at that time the legal representation terminated. Right of action accrued on that date of divorce and not when it was subsequently determined that the wife had been injured as a result of the PSA and, as such, claim is time barred.</w:t>
      </w:r>
    </w:p>
    <w:p w14:paraId="20BD8FBA" w14:textId="77777777" w:rsidR="009910CD" w:rsidRDefault="00FC2690" w:rsidP="00AF062B">
      <w:pPr>
        <w:pStyle w:val="Heading4"/>
        <w:numPr>
          <w:ilvl w:val="0"/>
          <w:numId w:val="36"/>
        </w:numPr>
        <w:tabs>
          <w:tab w:val="left" w:pos="2041"/>
          <w:tab w:val="left" w:pos="2042"/>
        </w:tabs>
        <w:spacing w:before="76"/>
        <w:ind w:left="1170" w:hanging="450"/>
      </w:pPr>
      <w:r>
        <w:rPr>
          <w:color w:val="231F20"/>
        </w:rPr>
        <w:t>Negligent</w:t>
      </w:r>
      <w:r>
        <w:rPr>
          <w:color w:val="231F20"/>
          <w:spacing w:val="14"/>
        </w:rPr>
        <w:t xml:space="preserve"> </w:t>
      </w:r>
      <w:r>
        <w:rPr>
          <w:color w:val="231F20"/>
        </w:rPr>
        <w:t>Conduct</w:t>
      </w:r>
    </w:p>
    <w:p w14:paraId="233F903D" w14:textId="2D679270" w:rsidR="009910CD" w:rsidRDefault="00DC48F3" w:rsidP="000C3931">
      <w:pPr>
        <w:spacing w:before="126"/>
        <w:ind w:left="720"/>
      </w:pPr>
      <w:r>
        <w:rPr>
          <w:color w:val="231F20"/>
        </w:rPr>
        <w:t>2023</w:t>
      </w:r>
      <w:r w:rsidR="00FC2690">
        <w:rPr>
          <w:color w:val="231F20"/>
        </w:rPr>
        <w:t>—</w:t>
      </w:r>
      <w:r>
        <w:rPr>
          <w:i/>
          <w:color w:val="231F20"/>
        </w:rPr>
        <w:t>Wright</w:t>
      </w:r>
      <w:r w:rsidR="00FC2690">
        <w:rPr>
          <w:i/>
          <w:color w:val="231F20"/>
        </w:rPr>
        <w:t xml:space="preserve"> v.</w:t>
      </w:r>
      <w:r w:rsidR="00B64C57">
        <w:rPr>
          <w:i/>
          <w:color w:val="231F20"/>
        </w:rPr>
        <w:t xml:space="preserve"> </w:t>
      </w:r>
      <w:r>
        <w:rPr>
          <w:i/>
          <w:color w:val="231F20"/>
        </w:rPr>
        <w:t>Graves</w:t>
      </w:r>
      <w:r w:rsidR="00FC2690">
        <w:rPr>
          <w:color w:val="231F20"/>
        </w:rPr>
        <w:t xml:space="preserve">, </w:t>
      </w:r>
      <w:r>
        <w:rPr>
          <w:color w:val="231F20"/>
        </w:rPr>
        <w:t>78</w:t>
      </w:r>
      <w:r w:rsidR="00FC2690">
        <w:rPr>
          <w:color w:val="231F20"/>
        </w:rPr>
        <w:t xml:space="preserve"> Va.</w:t>
      </w:r>
      <w:r w:rsidR="00B64C57">
        <w:rPr>
          <w:color w:val="231F20"/>
        </w:rPr>
        <w:t xml:space="preserve"> </w:t>
      </w:r>
      <w:r>
        <w:rPr>
          <w:color w:val="231F20"/>
        </w:rPr>
        <w:t>App. 777</w:t>
      </w:r>
      <w:r w:rsidR="00FC2690">
        <w:rPr>
          <w:color w:val="231F20"/>
        </w:rPr>
        <w:t xml:space="preserve">, </w:t>
      </w:r>
      <w:r>
        <w:rPr>
          <w:color w:val="231F20"/>
        </w:rPr>
        <w:t>892</w:t>
      </w:r>
      <w:r w:rsidR="00FC2690">
        <w:rPr>
          <w:color w:val="231F20"/>
        </w:rPr>
        <w:t xml:space="preserve"> S.E.2d</w:t>
      </w:r>
      <w:r w:rsidR="00B64C57">
        <w:rPr>
          <w:color w:val="231F20"/>
        </w:rPr>
        <w:t xml:space="preserve"> </w:t>
      </w:r>
      <w:r>
        <w:rPr>
          <w:color w:val="231F20"/>
        </w:rPr>
        <w:t>710</w:t>
      </w:r>
      <w:r w:rsidR="00FC2690">
        <w:rPr>
          <w:color w:val="231F20"/>
        </w:rPr>
        <w:t>.</w:t>
      </w:r>
    </w:p>
    <w:p w14:paraId="588D3A71" w14:textId="517D2A22" w:rsidR="009910CD" w:rsidRPr="00473AA3" w:rsidRDefault="00DC48F3" w:rsidP="00E84432">
      <w:pPr>
        <w:pStyle w:val="BodyText"/>
        <w:spacing w:before="120" w:after="120"/>
        <w:ind w:left="1440"/>
        <w:jc w:val="both"/>
        <w:rPr>
          <w:color w:val="231F20"/>
        </w:rPr>
      </w:pPr>
      <w:r>
        <w:rPr>
          <w:color w:val="231F20"/>
        </w:rPr>
        <w:t xml:space="preserve">In legal malpractice case based on criminal matter, plaintiff must not only prove the same elements as in a civil legal malpractice case but must also allege and prove post-conviction relief and actual innocence. </w:t>
      </w:r>
    </w:p>
    <w:p w14:paraId="6EC48134" w14:textId="77777777" w:rsidR="00DC48F3" w:rsidRDefault="00DC48F3" w:rsidP="00DC48F3">
      <w:pPr>
        <w:spacing w:before="126"/>
        <w:ind w:left="720"/>
      </w:pPr>
      <w:r>
        <w:rPr>
          <w:color w:val="231F20"/>
        </w:rPr>
        <w:t>2015—</w:t>
      </w:r>
      <w:r>
        <w:rPr>
          <w:i/>
          <w:color w:val="231F20"/>
        </w:rPr>
        <w:t>Desetti v. Chester</w:t>
      </w:r>
      <w:r>
        <w:rPr>
          <w:color w:val="231F20"/>
        </w:rPr>
        <w:t>, 290 Va. 50, 772 S.E.2d 907.</w:t>
      </w:r>
    </w:p>
    <w:p w14:paraId="039D88ED" w14:textId="77777777" w:rsidR="00DC48F3" w:rsidRPr="00473AA3" w:rsidRDefault="00DC48F3" w:rsidP="00DC48F3">
      <w:pPr>
        <w:pStyle w:val="BodyText"/>
        <w:spacing w:before="120" w:after="120"/>
        <w:ind w:left="1440"/>
        <w:jc w:val="both"/>
        <w:rPr>
          <w:color w:val="231F20"/>
        </w:rPr>
      </w:pPr>
      <w:r>
        <w:rPr>
          <w:color w:val="231F20"/>
        </w:rPr>
        <w:t>In this legal malpractice action against criminal defense lawyer, plaintiff</w:t>
      </w:r>
      <w:r w:rsidRPr="00473AA3">
        <w:rPr>
          <w:color w:val="231F20"/>
        </w:rPr>
        <w:t xml:space="preserve"> </w:t>
      </w:r>
      <w:r>
        <w:rPr>
          <w:color w:val="231F20"/>
        </w:rPr>
        <w:t>must</w:t>
      </w:r>
      <w:r w:rsidRPr="00473AA3">
        <w:rPr>
          <w:color w:val="231F20"/>
        </w:rPr>
        <w:t xml:space="preserve"> </w:t>
      </w:r>
      <w:r>
        <w:rPr>
          <w:color w:val="231F20"/>
        </w:rPr>
        <w:t>allege</w:t>
      </w:r>
      <w:r w:rsidRPr="00473AA3">
        <w:rPr>
          <w:color w:val="231F20"/>
        </w:rPr>
        <w:t xml:space="preserve"> </w:t>
      </w:r>
      <w:r>
        <w:rPr>
          <w:color w:val="231F20"/>
        </w:rPr>
        <w:t>and</w:t>
      </w:r>
      <w:r w:rsidRPr="00473AA3">
        <w:rPr>
          <w:color w:val="231F20"/>
        </w:rPr>
        <w:t xml:space="preserve"> </w:t>
      </w:r>
      <w:r>
        <w:rPr>
          <w:color w:val="231F20"/>
        </w:rPr>
        <w:t>prove</w:t>
      </w:r>
      <w:r w:rsidRPr="00473AA3">
        <w:rPr>
          <w:color w:val="231F20"/>
        </w:rPr>
        <w:t xml:space="preserve"> </w:t>
      </w:r>
      <w:r>
        <w:rPr>
          <w:color w:val="231F20"/>
        </w:rPr>
        <w:t>that</w:t>
      </w:r>
      <w:r w:rsidRPr="00473AA3">
        <w:rPr>
          <w:color w:val="231F20"/>
        </w:rPr>
        <w:t xml:space="preserve"> </w:t>
      </w:r>
      <w:r>
        <w:rPr>
          <w:color w:val="231F20"/>
        </w:rPr>
        <w:t>attorney’s</w:t>
      </w:r>
      <w:r w:rsidRPr="00473AA3">
        <w:rPr>
          <w:color w:val="231F20"/>
        </w:rPr>
        <w:t xml:space="preserve"> </w:t>
      </w:r>
      <w:r>
        <w:rPr>
          <w:color w:val="231F20"/>
        </w:rPr>
        <w:t>malpractice</w:t>
      </w:r>
      <w:r w:rsidRPr="00473AA3">
        <w:rPr>
          <w:color w:val="231F20"/>
        </w:rPr>
        <w:t xml:space="preserve"> </w:t>
      </w:r>
      <w:r>
        <w:rPr>
          <w:color w:val="231F20"/>
        </w:rPr>
        <w:t>resulted</w:t>
      </w:r>
      <w:r w:rsidRPr="00473AA3">
        <w:rPr>
          <w:color w:val="231F20"/>
        </w:rPr>
        <w:t xml:space="preserve"> </w:t>
      </w:r>
      <w:r>
        <w:rPr>
          <w:color w:val="231F20"/>
        </w:rPr>
        <w:t>in a more severe conviction or longer sentence than necessary.</w:t>
      </w:r>
    </w:p>
    <w:p w14:paraId="71F3E014" w14:textId="77777777" w:rsidR="00330E33" w:rsidRDefault="00330E33">
      <w:pPr>
        <w:rPr>
          <w:color w:val="231F20"/>
        </w:rPr>
      </w:pPr>
      <w:r>
        <w:rPr>
          <w:color w:val="231F20"/>
        </w:rPr>
        <w:br w:type="page"/>
      </w:r>
    </w:p>
    <w:p w14:paraId="3D07E96D" w14:textId="3FE5E7A1" w:rsidR="009910CD" w:rsidRDefault="00FC2690" w:rsidP="000C3931">
      <w:pPr>
        <w:spacing w:before="118"/>
        <w:ind w:left="720"/>
      </w:pPr>
      <w:r>
        <w:rPr>
          <w:color w:val="231F20"/>
        </w:rPr>
        <w:lastRenderedPageBreak/>
        <w:t>2015—</w:t>
      </w:r>
      <w:r>
        <w:rPr>
          <w:i/>
          <w:color w:val="231F20"/>
        </w:rPr>
        <w:t>Shevlin Smith v.</w:t>
      </w:r>
      <w:r w:rsidR="00B64C57">
        <w:rPr>
          <w:i/>
          <w:color w:val="231F20"/>
        </w:rPr>
        <w:t xml:space="preserve"> </w:t>
      </w:r>
      <w:r>
        <w:rPr>
          <w:i/>
          <w:color w:val="231F20"/>
        </w:rPr>
        <w:t>McLaughlin</w:t>
      </w:r>
      <w:r>
        <w:rPr>
          <w:color w:val="231F20"/>
        </w:rPr>
        <w:t>, 289 Va.</w:t>
      </w:r>
      <w:r w:rsidR="00B64C57">
        <w:rPr>
          <w:color w:val="231F20"/>
        </w:rPr>
        <w:t xml:space="preserve"> </w:t>
      </w:r>
      <w:r>
        <w:rPr>
          <w:color w:val="231F20"/>
        </w:rPr>
        <w:t>241, 769 S.E.2d</w:t>
      </w:r>
      <w:r w:rsidR="00B64C57">
        <w:rPr>
          <w:color w:val="231F20"/>
        </w:rPr>
        <w:t xml:space="preserve"> </w:t>
      </w:r>
      <w:r>
        <w:rPr>
          <w:color w:val="231F20"/>
        </w:rPr>
        <w:t>7.</w:t>
      </w:r>
    </w:p>
    <w:p w14:paraId="7392D568" w14:textId="77777777" w:rsidR="009910CD" w:rsidRPr="00473AA3" w:rsidRDefault="00FC2690" w:rsidP="00E84432">
      <w:pPr>
        <w:pStyle w:val="BodyText"/>
        <w:spacing w:before="120" w:after="120"/>
        <w:ind w:left="1440"/>
        <w:jc w:val="both"/>
        <w:rPr>
          <w:color w:val="231F20"/>
        </w:rPr>
      </w:pPr>
      <w:r>
        <w:rPr>
          <w:color w:val="231F20"/>
        </w:rPr>
        <w:t>Legal malpractice action where lawyer who is being sued is acting in area of the law that was unsettled. In this instance there was no breach of duty. Court further ruled that defense of collectability</w:t>
      </w:r>
      <w:r w:rsidR="00F372C2" w:rsidRPr="00473AA3">
        <w:rPr>
          <w:color w:val="231F20"/>
        </w:rPr>
        <w:t xml:space="preserve"> </w:t>
      </w:r>
      <w:r>
        <w:rPr>
          <w:color w:val="231F20"/>
        </w:rPr>
        <w:t>imposes the burden on the defendant to prove such. Since legal malpractice claims are contract claims, there is no recovery for non-pecuniary damages such as pain and suffering. In addition, the Plaintiff’s damages based upon his escaping from jail when he had been wrongfully convicted was not a proper element of damage in this context. At trial, the Plaintiff sued for $6,000,000.00 but asked a jury to award $10,000,000.00. That should not have been</w:t>
      </w:r>
      <w:r w:rsidRPr="00473AA3">
        <w:rPr>
          <w:color w:val="231F20"/>
        </w:rPr>
        <w:t xml:space="preserve"> </w:t>
      </w:r>
      <w:r>
        <w:rPr>
          <w:color w:val="231F20"/>
        </w:rPr>
        <w:t>allowed.</w:t>
      </w:r>
    </w:p>
    <w:p w14:paraId="5135D44B" w14:textId="7DFF50EF" w:rsidR="009910CD" w:rsidRDefault="00FC2690" w:rsidP="000C3931">
      <w:pPr>
        <w:spacing w:before="126" w:line="250" w:lineRule="exact"/>
        <w:ind w:left="720" w:right="676"/>
      </w:pPr>
      <w:r>
        <w:rPr>
          <w:color w:val="231F20"/>
        </w:rPr>
        <w:t>2010—</w:t>
      </w:r>
      <w:r>
        <w:rPr>
          <w:i/>
          <w:color w:val="231F20"/>
        </w:rPr>
        <w:t>Wintergreen Partners v. McGuire Woods</w:t>
      </w:r>
      <w:r>
        <w:rPr>
          <w:color w:val="231F20"/>
        </w:rPr>
        <w:t>, 280 Va. 374, 698 S.E.2d 913.</w:t>
      </w:r>
    </w:p>
    <w:p w14:paraId="191E27D3" w14:textId="77777777" w:rsidR="009910CD" w:rsidRPr="00473AA3" w:rsidRDefault="00FC2690" w:rsidP="00E84432">
      <w:pPr>
        <w:pStyle w:val="BodyText"/>
        <w:spacing w:before="120" w:after="120"/>
        <w:ind w:left="1440"/>
        <w:jc w:val="both"/>
        <w:rPr>
          <w:color w:val="231F20"/>
        </w:rPr>
      </w:pPr>
      <w:r>
        <w:rPr>
          <w:color w:val="231F20"/>
        </w:rPr>
        <w:t>Law firm was accused of failing to timely file transcript of trial proceedings</w:t>
      </w:r>
      <w:r w:rsidRPr="00473AA3">
        <w:rPr>
          <w:color w:val="231F20"/>
        </w:rPr>
        <w:t xml:space="preserve"> </w:t>
      </w:r>
      <w:r>
        <w:rPr>
          <w:color w:val="231F20"/>
        </w:rPr>
        <w:t>for</w:t>
      </w:r>
      <w:r w:rsidRPr="00473AA3">
        <w:rPr>
          <w:color w:val="231F20"/>
        </w:rPr>
        <w:t xml:space="preserve"> </w:t>
      </w:r>
      <w:r>
        <w:rPr>
          <w:color w:val="231F20"/>
        </w:rPr>
        <w:t>purposes</w:t>
      </w:r>
      <w:r w:rsidRPr="00473AA3">
        <w:rPr>
          <w:color w:val="231F20"/>
        </w:rPr>
        <w:t xml:space="preserve"> </w:t>
      </w:r>
      <w:r>
        <w:rPr>
          <w:color w:val="231F20"/>
        </w:rPr>
        <w:t>of</w:t>
      </w:r>
      <w:r w:rsidRPr="00473AA3">
        <w:rPr>
          <w:color w:val="231F20"/>
        </w:rPr>
        <w:t xml:space="preserve"> </w:t>
      </w:r>
      <w:r>
        <w:rPr>
          <w:color w:val="231F20"/>
        </w:rPr>
        <w:t>appeal.</w:t>
      </w:r>
      <w:r w:rsidRPr="00473AA3">
        <w:rPr>
          <w:color w:val="231F20"/>
        </w:rPr>
        <w:t xml:space="preserve"> </w:t>
      </w:r>
      <w:r>
        <w:rPr>
          <w:color w:val="231F20"/>
        </w:rPr>
        <w:t>Legal</w:t>
      </w:r>
      <w:r w:rsidRPr="00473AA3">
        <w:rPr>
          <w:color w:val="231F20"/>
        </w:rPr>
        <w:t xml:space="preserve"> </w:t>
      </w:r>
      <w:r>
        <w:rPr>
          <w:color w:val="231F20"/>
        </w:rPr>
        <w:t>malpractice</w:t>
      </w:r>
      <w:r w:rsidRPr="00473AA3">
        <w:rPr>
          <w:color w:val="231F20"/>
        </w:rPr>
        <w:t xml:space="preserve"> </w:t>
      </w:r>
      <w:r>
        <w:rPr>
          <w:color w:val="231F20"/>
        </w:rPr>
        <w:t>action</w:t>
      </w:r>
      <w:r w:rsidRPr="00473AA3">
        <w:rPr>
          <w:color w:val="231F20"/>
        </w:rPr>
        <w:t xml:space="preserve"> </w:t>
      </w:r>
      <w:r>
        <w:rPr>
          <w:color w:val="231F20"/>
        </w:rPr>
        <w:t>against law firm fails because legal malpractice could not be proven as a matter of law since during the course of the trial the trial firm failed to properly preserve objections and, as such, filing of transcript in effect became</w:t>
      </w:r>
      <w:r w:rsidRPr="00473AA3">
        <w:rPr>
          <w:color w:val="231F20"/>
        </w:rPr>
        <w:t xml:space="preserve"> </w:t>
      </w:r>
      <w:r>
        <w:rPr>
          <w:color w:val="231F20"/>
        </w:rPr>
        <w:t>irrelevant.</w:t>
      </w:r>
    </w:p>
    <w:p w14:paraId="34EA96AE" w14:textId="77777777" w:rsidR="009910CD" w:rsidRDefault="00FC2690" w:rsidP="000C3931">
      <w:pPr>
        <w:spacing w:before="121"/>
        <w:ind w:left="720"/>
      </w:pPr>
      <w:r>
        <w:rPr>
          <w:color w:val="231F20"/>
        </w:rPr>
        <w:t>2010—</w:t>
      </w:r>
      <w:r>
        <w:rPr>
          <w:i/>
          <w:color w:val="231F20"/>
        </w:rPr>
        <w:t>Johnson v.</w:t>
      </w:r>
      <w:r w:rsidR="00B64C57">
        <w:rPr>
          <w:i/>
          <w:color w:val="231F20"/>
        </w:rPr>
        <w:t xml:space="preserve"> </w:t>
      </w:r>
      <w:r>
        <w:rPr>
          <w:i/>
          <w:color w:val="231F20"/>
        </w:rPr>
        <w:t>Hart</w:t>
      </w:r>
      <w:r>
        <w:rPr>
          <w:color w:val="231F20"/>
        </w:rPr>
        <w:t>, 279 Va.</w:t>
      </w:r>
      <w:r w:rsidR="00B64C57">
        <w:rPr>
          <w:color w:val="231F20"/>
        </w:rPr>
        <w:t xml:space="preserve"> </w:t>
      </w:r>
      <w:r>
        <w:rPr>
          <w:color w:val="231F20"/>
        </w:rPr>
        <w:t>617, 692 S.E.2d</w:t>
      </w:r>
      <w:r w:rsidR="00B64C57">
        <w:rPr>
          <w:color w:val="231F20"/>
        </w:rPr>
        <w:t xml:space="preserve"> </w:t>
      </w:r>
      <w:r>
        <w:rPr>
          <w:color w:val="231F20"/>
        </w:rPr>
        <w:t>239.</w:t>
      </w:r>
    </w:p>
    <w:p w14:paraId="26A36090" w14:textId="77777777" w:rsidR="009910CD" w:rsidRPr="00473AA3" w:rsidRDefault="00FC2690" w:rsidP="00E84432">
      <w:pPr>
        <w:pStyle w:val="BodyText"/>
        <w:spacing w:before="120" w:after="120"/>
        <w:ind w:left="1440"/>
        <w:jc w:val="both"/>
        <w:rPr>
          <w:color w:val="231F20"/>
        </w:rPr>
      </w:pPr>
      <w:r>
        <w:rPr>
          <w:color w:val="231F20"/>
        </w:rPr>
        <w:t>A sole testamentary beneficiary in their individual capacity could not maintain a legal malpractice action against the attorney for the estate based upon the attorney’s alleged negligent</w:t>
      </w:r>
      <w:r w:rsidR="00B64C57">
        <w:rPr>
          <w:color w:val="231F20"/>
        </w:rPr>
        <w:t xml:space="preserve"> </w:t>
      </w:r>
      <w:r>
        <w:rPr>
          <w:color w:val="231F20"/>
        </w:rPr>
        <w:t>services.</w:t>
      </w:r>
    </w:p>
    <w:p w14:paraId="64BC3580" w14:textId="77777777" w:rsidR="009910CD" w:rsidRDefault="00FC2690" w:rsidP="000C3931">
      <w:pPr>
        <w:spacing w:before="121"/>
        <w:ind w:left="720"/>
      </w:pPr>
      <w:r>
        <w:rPr>
          <w:color w:val="231F20"/>
        </w:rPr>
        <w:t>2009—</w:t>
      </w:r>
      <w:r>
        <w:rPr>
          <w:i/>
          <w:color w:val="231F20"/>
        </w:rPr>
        <w:t>Williams v.</w:t>
      </w:r>
      <w:r w:rsidR="00B64C57">
        <w:rPr>
          <w:i/>
          <w:color w:val="231F20"/>
        </w:rPr>
        <w:t xml:space="preserve"> </w:t>
      </w:r>
      <w:r>
        <w:rPr>
          <w:i/>
          <w:color w:val="231F20"/>
        </w:rPr>
        <w:t>Joynes</w:t>
      </w:r>
      <w:r>
        <w:rPr>
          <w:color w:val="231F20"/>
        </w:rPr>
        <w:t>, 278 Va.</w:t>
      </w:r>
      <w:r w:rsidR="00B64C57">
        <w:rPr>
          <w:color w:val="231F20"/>
        </w:rPr>
        <w:t xml:space="preserve"> </w:t>
      </w:r>
      <w:r>
        <w:rPr>
          <w:color w:val="231F20"/>
        </w:rPr>
        <w:t>57, 677 S.E.2d 261.</w:t>
      </w:r>
    </w:p>
    <w:p w14:paraId="235D4A64" w14:textId="627F25AC" w:rsidR="009910CD" w:rsidRPr="00473AA3" w:rsidRDefault="00FC2690" w:rsidP="00E84432">
      <w:pPr>
        <w:pStyle w:val="BodyText"/>
        <w:spacing w:before="120" w:after="120"/>
        <w:ind w:left="1440"/>
        <w:jc w:val="both"/>
        <w:rPr>
          <w:color w:val="231F20"/>
        </w:rPr>
      </w:pPr>
      <w:r>
        <w:rPr>
          <w:color w:val="231F20"/>
        </w:rPr>
        <w:t>In this legal malpractice action, defendant attorney contended that plaintiff’s failure to file suit in other jurisdiction where statute of limitations had not expired was superseding event that severed the link of proximate causation. Trial court improperly granted summary judgment on that issue. That issue should have been</w:t>
      </w:r>
      <w:r w:rsidRPr="00473AA3">
        <w:rPr>
          <w:color w:val="231F20"/>
        </w:rPr>
        <w:t xml:space="preserve"> </w:t>
      </w:r>
      <w:r>
        <w:rPr>
          <w:color w:val="231F20"/>
        </w:rPr>
        <w:t>submitted to the jury for</w:t>
      </w:r>
      <w:r w:rsidR="00B64C57">
        <w:rPr>
          <w:color w:val="231F20"/>
        </w:rPr>
        <w:t xml:space="preserve"> </w:t>
      </w:r>
      <w:r>
        <w:rPr>
          <w:color w:val="231F20"/>
        </w:rPr>
        <w:t>determination.</w:t>
      </w:r>
    </w:p>
    <w:p w14:paraId="4CFB9E77" w14:textId="77777777" w:rsidR="009910CD" w:rsidRDefault="009910CD">
      <w:pPr>
        <w:pStyle w:val="BodyText"/>
        <w:spacing w:before="2"/>
        <w:rPr>
          <w:sz w:val="26"/>
        </w:rPr>
      </w:pPr>
    </w:p>
    <w:p w14:paraId="6BFB27A6" w14:textId="77777777" w:rsidR="003D5ECF" w:rsidRDefault="003D5ECF">
      <w:pPr>
        <w:rPr>
          <w:b/>
          <w:bCs/>
          <w:color w:val="231F20"/>
          <w:sz w:val="40"/>
          <w:szCs w:val="40"/>
        </w:rPr>
      </w:pPr>
      <w:r>
        <w:rPr>
          <w:color w:val="231F20"/>
        </w:rPr>
        <w:br w:type="page"/>
      </w:r>
    </w:p>
    <w:p w14:paraId="1D2D0524" w14:textId="77777777" w:rsidR="00515998" w:rsidRDefault="00FC2690" w:rsidP="00515998">
      <w:pPr>
        <w:pStyle w:val="Heading1"/>
        <w:spacing w:line="321" w:lineRule="auto"/>
        <w:ind w:left="0" w:right="0" w:firstLine="0"/>
        <w:jc w:val="center"/>
        <w:rPr>
          <w:color w:val="231F20"/>
        </w:rPr>
      </w:pPr>
      <w:r>
        <w:rPr>
          <w:color w:val="231F20"/>
        </w:rPr>
        <w:lastRenderedPageBreak/>
        <w:t xml:space="preserve">Chapter 11 </w:t>
      </w:r>
    </w:p>
    <w:p w14:paraId="632AF70A" w14:textId="77777777" w:rsidR="009910CD" w:rsidRDefault="00FC2690" w:rsidP="00515998">
      <w:pPr>
        <w:pStyle w:val="Heading1"/>
        <w:spacing w:line="321" w:lineRule="auto"/>
        <w:ind w:left="0" w:right="0" w:firstLine="0"/>
        <w:jc w:val="center"/>
      </w:pPr>
      <w:r>
        <w:rPr>
          <w:color w:val="231F20"/>
        </w:rPr>
        <w:t>WORKERS’ COMPENSATION</w:t>
      </w:r>
    </w:p>
    <w:p w14:paraId="025426FC"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11.02</w:t>
      </w:r>
      <w:r w:rsidRPr="00ED1338">
        <w:rPr>
          <w:color w:val="231F20"/>
        </w:rPr>
        <w:tab/>
      </w:r>
      <w:r>
        <w:rPr>
          <w:color w:val="231F20"/>
        </w:rPr>
        <w:t>Exclusiveness of</w:t>
      </w:r>
      <w:r w:rsidRPr="00ED1338">
        <w:rPr>
          <w:color w:val="231F20"/>
        </w:rPr>
        <w:t xml:space="preserve"> </w:t>
      </w:r>
      <w:r>
        <w:rPr>
          <w:color w:val="231F20"/>
        </w:rPr>
        <w:t>Remedy</w:t>
      </w:r>
    </w:p>
    <w:p w14:paraId="263C1B5D" w14:textId="74AF4326" w:rsidR="006C1AA3" w:rsidRDefault="006C1AA3" w:rsidP="006C1AA3">
      <w:pPr>
        <w:spacing w:before="126"/>
        <w:ind w:left="720"/>
      </w:pPr>
      <w:r>
        <w:rPr>
          <w:color w:val="231F20"/>
        </w:rPr>
        <w:t>2021—</w:t>
      </w:r>
      <w:r>
        <w:rPr>
          <w:i/>
          <w:color w:val="231F20"/>
        </w:rPr>
        <w:t xml:space="preserve">Lopez </w:t>
      </w:r>
      <w:r>
        <w:rPr>
          <w:i/>
          <w:color w:val="231F20"/>
          <w:spacing w:val="-9"/>
        </w:rPr>
        <w:t xml:space="preserve">v. </w:t>
      </w:r>
      <w:r>
        <w:rPr>
          <w:i/>
          <w:color w:val="231F20"/>
        </w:rPr>
        <w:t>Intercept Youth Services, Inc.</w:t>
      </w:r>
      <w:r>
        <w:rPr>
          <w:color w:val="231F20"/>
        </w:rPr>
        <w:t xml:space="preserve">, 300 </w:t>
      </w:r>
      <w:r>
        <w:rPr>
          <w:color w:val="231F20"/>
          <w:spacing w:val="-9"/>
        </w:rPr>
        <w:t xml:space="preserve">Va. </w:t>
      </w:r>
      <w:r>
        <w:rPr>
          <w:color w:val="231F20"/>
        </w:rPr>
        <w:t>190, 861 S.E.2d</w:t>
      </w:r>
      <w:r>
        <w:rPr>
          <w:color w:val="231F20"/>
          <w:spacing w:val="50"/>
        </w:rPr>
        <w:t xml:space="preserve"> </w:t>
      </w:r>
      <w:r>
        <w:rPr>
          <w:color w:val="231F20"/>
        </w:rPr>
        <w:t>392.</w:t>
      </w:r>
    </w:p>
    <w:p w14:paraId="6AF29673" w14:textId="3BE13BDB" w:rsidR="006C1AA3" w:rsidRPr="00473AA3" w:rsidRDefault="006C1AA3" w:rsidP="006C1AA3">
      <w:pPr>
        <w:pStyle w:val="BodyText"/>
        <w:spacing w:before="120" w:after="120"/>
        <w:ind w:left="1440"/>
        <w:jc w:val="both"/>
        <w:rPr>
          <w:color w:val="231F20"/>
        </w:rPr>
      </w:pPr>
      <w:r>
        <w:rPr>
          <w:color w:val="231F20"/>
        </w:rPr>
        <w:t>Murder of employee who was a counselor at facility for at-risk youths was barred by Workers’ Comp Act.</w:t>
      </w:r>
    </w:p>
    <w:p w14:paraId="716837AF" w14:textId="77777777" w:rsidR="009910CD" w:rsidRDefault="00FC2690" w:rsidP="000C3931">
      <w:pPr>
        <w:spacing w:before="126"/>
        <w:ind w:left="720"/>
      </w:pPr>
      <w:r>
        <w:rPr>
          <w:color w:val="231F20"/>
        </w:rPr>
        <w:t>2014—</w:t>
      </w:r>
      <w:r>
        <w:rPr>
          <w:i/>
          <w:color w:val="231F20"/>
        </w:rPr>
        <w:t xml:space="preserve">Kohn </w:t>
      </w:r>
      <w:r>
        <w:rPr>
          <w:i/>
          <w:color w:val="231F20"/>
          <w:spacing w:val="-9"/>
        </w:rPr>
        <w:t>v.</w:t>
      </w:r>
      <w:r w:rsidR="00B64C57">
        <w:rPr>
          <w:i/>
          <w:color w:val="231F20"/>
          <w:spacing w:val="-9"/>
        </w:rPr>
        <w:t xml:space="preserve"> </w:t>
      </w:r>
      <w:r>
        <w:rPr>
          <w:i/>
          <w:color w:val="231F20"/>
        </w:rPr>
        <w:t>Marquis</w:t>
      </w:r>
      <w:r>
        <w:rPr>
          <w:color w:val="231F20"/>
        </w:rPr>
        <w:t xml:space="preserve">, 288 </w:t>
      </w:r>
      <w:r>
        <w:rPr>
          <w:color w:val="231F20"/>
          <w:spacing w:val="-9"/>
        </w:rPr>
        <w:t>Va.</w:t>
      </w:r>
      <w:r w:rsidR="00B64C57">
        <w:rPr>
          <w:color w:val="231F20"/>
          <w:spacing w:val="-9"/>
        </w:rPr>
        <w:t xml:space="preserve"> </w:t>
      </w:r>
      <w:r>
        <w:rPr>
          <w:color w:val="231F20"/>
        </w:rPr>
        <w:t>142, 762 S.E.2d</w:t>
      </w:r>
      <w:r>
        <w:rPr>
          <w:color w:val="231F20"/>
          <w:spacing w:val="50"/>
        </w:rPr>
        <w:t xml:space="preserve"> </w:t>
      </w:r>
      <w:r>
        <w:rPr>
          <w:color w:val="231F20"/>
        </w:rPr>
        <w:t>755.</w:t>
      </w:r>
    </w:p>
    <w:p w14:paraId="462D1FE0" w14:textId="77777777" w:rsidR="009910CD" w:rsidRPr="00473AA3" w:rsidRDefault="00FC2690" w:rsidP="00E84432">
      <w:pPr>
        <w:pStyle w:val="BodyText"/>
        <w:spacing w:before="120" w:after="120"/>
        <w:ind w:left="1440"/>
        <w:jc w:val="both"/>
        <w:rPr>
          <w:color w:val="231F20"/>
        </w:rPr>
      </w:pPr>
      <w:r>
        <w:rPr>
          <w:color w:val="231F20"/>
        </w:rPr>
        <w:t>Recruit police officer killed during training process. There was an identifiable event that was thought to be the cause of his death. Subsequent suit against police department is barred under exclusive remedy rule.</w:t>
      </w:r>
    </w:p>
    <w:p w14:paraId="4C2CA320" w14:textId="77777777" w:rsidR="000C3931" w:rsidRDefault="00FC2690" w:rsidP="000C3931">
      <w:pPr>
        <w:spacing w:before="119" w:line="302" w:lineRule="auto"/>
        <w:ind w:left="720" w:right="821"/>
        <w:rPr>
          <w:color w:val="231F20"/>
        </w:rPr>
      </w:pPr>
      <w:r>
        <w:rPr>
          <w:color w:val="231F20"/>
        </w:rPr>
        <w:t>2012—</w:t>
      </w:r>
      <w:r>
        <w:rPr>
          <w:i/>
          <w:color w:val="231F20"/>
        </w:rPr>
        <w:t>Napper v. ABM Janitorial Services</w:t>
      </w:r>
      <w:r>
        <w:rPr>
          <w:color w:val="231F20"/>
        </w:rPr>
        <w:t xml:space="preserve">, 284 Va. 55, 726 S.E. 2d 313. </w:t>
      </w:r>
    </w:p>
    <w:p w14:paraId="677AD8CA" w14:textId="77777777" w:rsidR="009910CD" w:rsidRPr="00473AA3" w:rsidRDefault="00FC2690" w:rsidP="00E84432">
      <w:pPr>
        <w:pStyle w:val="BodyText"/>
        <w:spacing w:before="120" w:after="120"/>
        <w:ind w:left="1440"/>
        <w:jc w:val="both"/>
        <w:rPr>
          <w:color w:val="231F20"/>
        </w:rPr>
      </w:pPr>
      <w:r>
        <w:rPr>
          <w:color w:val="231F20"/>
        </w:rPr>
        <w:t>Trial</w:t>
      </w:r>
      <w:r w:rsidR="00B64C57">
        <w:rPr>
          <w:color w:val="231F20"/>
        </w:rPr>
        <w:t xml:space="preserve"> </w:t>
      </w:r>
      <w:r>
        <w:rPr>
          <w:color w:val="231F20"/>
        </w:rPr>
        <w:t>court</w:t>
      </w:r>
      <w:r w:rsidR="00B64C57">
        <w:rPr>
          <w:color w:val="231F20"/>
        </w:rPr>
        <w:t xml:space="preserve"> </w:t>
      </w:r>
      <w:r>
        <w:rPr>
          <w:color w:val="231F20"/>
        </w:rPr>
        <w:t>improperly</w:t>
      </w:r>
      <w:r w:rsidR="00B64C57">
        <w:rPr>
          <w:color w:val="231F20"/>
        </w:rPr>
        <w:t xml:space="preserve"> </w:t>
      </w:r>
      <w:r>
        <w:rPr>
          <w:color w:val="231F20"/>
        </w:rPr>
        <w:t>held</w:t>
      </w:r>
      <w:r w:rsidR="00B64C57">
        <w:rPr>
          <w:color w:val="231F20"/>
        </w:rPr>
        <w:t xml:space="preserve"> </w:t>
      </w:r>
      <w:r>
        <w:rPr>
          <w:color w:val="231F20"/>
        </w:rPr>
        <w:t>that</w:t>
      </w:r>
      <w:r w:rsidR="00B64C57">
        <w:rPr>
          <w:color w:val="231F20"/>
        </w:rPr>
        <w:t xml:space="preserve"> </w:t>
      </w:r>
      <w:r>
        <w:rPr>
          <w:color w:val="231F20"/>
        </w:rPr>
        <w:t>plaintiff’s</w:t>
      </w:r>
      <w:r w:rsidR="00B64C57">
        <w:rPr>
          <w:color w:val="231F20"/>
        </w:rPr>
        <w:t xml:space="preserve"> </w:t>
      </w:r>
      <w:r>
        <w:rPr>
          <w:color w:val="231F20"/>
        </w:rPr>
        <w:t>personal</w:t>
      </w:r>
      <w:r w:rsidR="00B64C57">
        <w:rPr>
          <w:color w:val="231F20"/>
        </w:rPr>
        <w:t xml:space="preserve"> </w:t>
      </w:r>
      <w:r>
        <w:rPr>
          <w:color w:val="231F20"/>
        </w:rPr>
        <w:t>injury</w:t>
      </w:r>
      <w:r w:rsidR="00B64C57">
        <w:rPr>
          <w:color w:val="231F20"/>
        </w:rPr>
        <w:t xml:space="preserve"> </w:t>
      </w:r>
      <w:r>
        <w:rPr>
          <w:color w:val="231F20"/>
        </w:rPr>
        <w:t>suit</w:t>
      </w:r>
      <w:r w:rsidR="004975D7">
        <w:rPr>
          <w:color w:val="231F20"/>
        </w:rPr>
        <w:t xml:space="preserve"> </w:t>
      </w:r>
      <w:r>
        <w:rPr>
          <w:color w:val="231F20"/>
        </w:rPr>
        <w:t>arising from fall in public lobby of building where she worked was barred by workers’ compensation immunity. Mere fact that</w:t>
      </w:r>
      <w:r w:rsidRPr="00473AA3">
        <w:rPr>
          <w:color w:val="231F20"/>
        </w:rPr>
        <w:t xml:space="preserve"> </w:t>
      </w:r>
      <w:r>
        <w:rPr>
          <w:color w:val="231F20"/>
        </w:rPr>
        <w:t xml:space="preserve">cleaning company that cleaned the public area also cleaned the plaintiff’s </w:t>
      </w:r>
      <w:r w:rsidRPr="00473AA3">
        <w:rPr>
          <w:color w:val="231F20"/>
        </w:rPr>
        <w:t xml:space="preserve">office </w:t>
      </w:r>
      <w:r>
        <w:rPr>
          <w:color w:val="231F20"/>
        </w:rPr>
        <w:t>area did not mean that plaintiff’s employer and the janitorial company were engaged in the same trade business or</w:t>
      </w:r>
      <w:r w:rsidR="00B64C57">
        <w:rPr>
          <w:color w:val="231F20"/>
        </w:rPr>
        <w:t xml:space="preserve"> </w:t>
      </w:r>
      <w:r>
        <w:rPr>
          <w:color w:val="231F20"/>
        </w:rPr>
        <w:t>occupation.</w:t>
      </w:r>
    </w:p>
    <w:p w14:paraId="6EDBB93D" w14:textId="77777777" w:rsidR="009910CD" w:rsidRDefault="00FC2690" w:rsidP="000C3931">
      <w:pPr>
        <w:spacing w:before="121"/>
        <w:ind w:left="720"/>
      </w:pPr>
      <w:r>
        <w:rPr>
          <w:color w:val="231F20"/>
        </w:rPr>
        <w:t>2012—</w:t>
      </w:r>
      <w:r>
        <w:rPr>
          <w:i/>
          <w:color w:val="231F20"/>
        </w:rPr>
        <w:t>Giordano v.</w:t>
      </w:r>
      <w:r w:rsidR="00B64C57">
        <w:rPr>
          <w:i/>
          <w:color w:val="231F20"/>
        </w:rPr>
        <w:t xml:space="preserve"> </w:t>
      </w:r>
      <w:r>
        <w:rPr>
          <w:i/>
          <w:color w:val="231F20"/>
        </w:rPr>
        <w:t>McBar Industries, Inc.</w:t>
      </w:r>
      <w:r>
        <w:rPr>
          <w:color w:val="231F20"/>
        </w:rPr>
        <w:t>, 284 Va.</w:t>
      </w:r>
      <w:r w:rsidR="00B64C57">
        <w:rPr>
          <w:color w:val="231F20"/>
        </w:rPr>
        <w:t xml:space="preserve"> </w:t>
      </w:r>
      <w:r>
        <w:rPr>
          <w:color w:val="231F20"/>
        </w:rPr>
        <w:t>259, 729 S.E.2d</w:t>
      </w:r>
      <w:r w:rsidR="00B64C57">
        <w:rPr>
          <w:color w:val="231F20"/>
        </w:rPr>
        <w:t xml:space="preserve"> </w:t>
      </w:r>
      <w:r>
        <w:rPr>
          <w:color w:val="231F20"/>
        </w:rPr>
        <w:t>130.</w:t>
      </w:r>
    </w:p>
    <w:p w14:paraId="7E5E3CA9" w14:textId="77777777" w:rsidR="009910CD" w:rsidRPr="00473AA3" w:rsidRDefault="00FC2690" w:rsidP="00E84432">
      <w:pPr>
        <w:pStyle w:val="BodyText"/>
        <w:spacing w:before="120" w:after="120"/>
        <w:ind w:left="1440"/>
        <w:jc w:val="both"/>
        <w:rPr>
          <w:color w:val="231F20"/>
        </w:rPr>
      </w:pPr>
      <w:r>
        <w:rPr>
          <w:color w:val="231F20"/>
        </w:rPr>
        <w:t>In this wrongful death action, decedent had been hired by general contractor on construction project. Administrator of estate sought to file wrongful death action against general contractor and subs and also building supply company. Act</w:t>
      </w:r>
      <w:r w:rsidR="00103F1A">
        <w:rPr>
          <w:color w:val="231F20"/>
        </w:rPr>
        <w:t>ion against general and subcon</w:t>
      </w:r>
      <w:r>
        <w:rPr>
          <w:color w:val="231F20"/>
        </w:rPr>
        <w:t>tractors is barred. Supplier of product that was used on the job was not engaged in trade business or occupation of the decedent’s employer was subject to</w:t>
      </w:r>
      <w:r w:rsidR="00B64C57">
        <w:rPr>
          <w:color w:val="231F20"/>
        </w:rPr>
        <w:t xml:space="preserve"> </w:t>
      </w:r>
      <w:r>
        <w:rPr>
          <w:color w:val="231F20"/>
        </w:rPr>
        <w:t>suit.</w:t>
      </w:r>
    </w:p>
    <w:p w14:paraId="004A27FE" w14:textId="77777777" w:rsidR="009910CD" w:rsidRDefault="00FC2690" w:rsidP="000C3931">
      <w:pPr>
        <w:spacing w:before="126" w:line="250" w:lineRule="exact"/>
        <w:ind w:left="720" w:right="1127"/>
      </w:pPr>
      <w:r>
        <w:rPr>
          <w:color w:val="231F20"/>
        </w:rPr>
        <w:t>2012—</w:t>
      </w:r>
      <w:r>
        <w:rPr>
          <w:i/>
          <w:color w:val="231F20"/>
        </w:rPr>
        <w:t>Gibbs v. Newport News Shipbuilding</w:t>
      </w:r>
      <w:r>
        <w:rPr>
          <w:color w:val="231F20"/>
        </w:rPr>
        <w:t>, 284 Va. 677, 733 S.E.2d 648.</w:t>
      </w:r>
    </w:p>
    <w:p w14:paraId="37ECF3D8" w14:textId="77777777" w:rsidR="009910CD" w:rsidRPr="00473AA3" w:rsidRDefault="00FC2690" w:rsidP="00E84432">
      <w:pPr>
        <w:pStyle w:val="BodyText"/>
        <w:spacing w:before="120" w:after="120"/>
        <w:ind w:left="1440"/>
        <w:jc w:val="both"/>
        <w:rPr>
          <w:color w:val="231F20"/>
        </w:rPr>
      </w:pPr>
      <w:r>
        <w:rPr>
          <w:color w:val="231F20"/>
        </w:rPr>
        <w:t>Navy seaman assigned to perform testing and inspection duties on nuclear</w:t>
      </w:r>
      <w:r w:rsidRPr="00473AA3">
        <w:rPr>
          <w:color w:val="231F20"/>
        </w:rPr>
        <w:t xml:space="preserve"> </w:t>
      </w:r>
      <w:r>
        <w:rPr>
          <w:color w:val="231F20"/>
        </w:rPr>
        <w:t>submarines</w:t>
      </w:r>
      <w:r w:rsidRPr="00473AA3">
        <w:rPr>
          <w:color w:val="231F20"/>
        </w:rPr>
        <w:t xml:space="preserve"> </w:t>
      </w:r>
      <w:r>
        <w:rPr>
          <w:color w:val="231F20"/>
        </w:rPr>
        <w:t>under</w:t>
      </w:r>
      <w:r w:rsidRPr="00473AA3">
        <w:rPr>
          <w:color w:val="231F20"/>
        </w:rPr>
        <w:t xml:space="preserve"> </w:t>
      </w:r>
      <w:r>
        <w:rPr>
          <w:color w:val="231F20"/>
        </w:rPr>
        <w:t>construction</w:t>
      </w:r>
      <w:r w:rsidRPr="00473AA3">
        <w:rPr>
          <w:color w:val="231F20"/>
        </w:rPr>
        <w:t xml:space="preserve"> </w:t>
      </w:r>
      <w:r>
        <w:rPr>
          <w:color w:val="231F20"/>
        </w:rPr>
        <w:t>at</w:t>
      </w:r>
      <w:r w:rsidRPr="00473AA3">
        <w:rPr>
          <w:color w:val="231F20"/>
        </w:rPr>
        <w:t xml:space="preserve"> </w:t>
      </w:r>
      <w:r>
        <w:rPr>
          <w:color w:val="231F20"/>
        </w:rPr>
        <w:t>shipyard</w:t>
      </w:r>
      <w:r w:rsidRPr="00473AA3">
        <w:rPr>
          <w:color w:val="231F20"/>
        </w:rPr>
        <w:t xml:space="preserve"> </w:t>
      </w:r>
      <w:r>
        <w:rPr>
          <w:color w:val="231F20"/>
        </w:rPr>
        <w:t>brought</w:t>
      </w:r>
      <w:r w:rsidRPr="00473AA3">
        <w:rPr>
          <w:color w:val="231F20"/>
        </w:rPr>
        <w:t xml:space="preserve"> </w:t>
      </w:r>
      <w:r>
        <w:rPr>
          <w:color w:val="231F20"/>
        </w:rPr>
        <w:t>claim</w:t>
      </w:r>
      <w:r w:rsidRPr="00473AA3">
        <w:rPr>
          <w:color w:val="231F20"/>
        </w:rPr>
        <w:t xml:space="preserve"> </w:t>
      </w:r>
      <w:r>
        <w:rPr>
          <w:color w:val="231F20"/>
        </w:rPr>
        <w:t xml:space="preserve">for asbestos exposure. US Navy could not be held liable to pay compensation under </w:t>
      </w:r>
      <w:r w:rsidRPr="00473AA3">
        <w:rPr>
          <w:color w:val="231F20"/>
        </w:rPr>
        <w:t xml:space="preserve">Virginia Workers’ </w:t>
      </w:r>
      <w:r>
        <w:rPr>
          <w:color w:val="231F20"/>
        </w:rPr>
        <w:t>Compensation Act and likewise</w:t>
      </w:r>
      <w:r w:rsidRPr="00473AA3">
        <w:rPr>
          <w:color w:val="231F20"/>
        </w:rPr>
        <w:t xml:space="preserve"> </w:t>
      </w:r>
      <w:r>
        <w:rPr>
          <w:color w:val="231F20"/>
        </w:rPr>
        <w:t>could</w:t>
      </w:r>
      <w:r w:rsidRPr="00473AA3">
        <w:rPr>
          <w:color w:val="231F20"/>
        </w:rPr>
        <w:t xml:space="preserve"> </w:t>
      </w:r>
      <w:r>
        <w:rPr>
          <w:color w:val="231F20"/>
        </w:rPr>
        <w:t>not</w:t>
      </w:r>
      <w:r w:rsidRPr="00473AA3">
        <w:rPr>
          <w:color w:val="231F20"/>
        </w:rPr>
        <w:t xml:space="preserve"> </w:t>
      </w:r>
      <w:r>
        <w:rPr>
          <w:color w:val="231F20"/>
        </w:rPr>
        <w:t>be</w:t>
      </w:r>
      <w:r w:rsidRPr="00473AA3">
        <w:rPr>
          <w:color w:val="231F20"/>
        </w:rPr>
        <w:t xml:space="preserve"> </w:t>
      </w:r>
      <w:r>
        <w:rPr>
          <w:color w:val="231F20"/>
        </w:rPr>
        <w:t>statutory</w:t>
      </w:r>
      <w:r w:rsidRPr="00473AA3">
        <w:rPr>
          <w:color w:val="231F20"/>
        </w:rPr>
        <w:t xml:space="preserve"> </w:t>
      </w:r>
      <w:r>
        <w:rPr>
          <w:color w:val="231F20"/>
        </w:rPr>
        <w:t>employer</w:t>
      </w:r>
      <w:r w:rsidRPr="00473AA3">
        <w:rPr>
          <w:color w:val="231F20"/>
        </w:rPr>
        <w:t xml:space="preserve"> </w:t>
      </w:r>
      <w:r>
        <w:rPr>
          <w:color w:val="231F20"/>
        </w:rPr>
        <w:t>of</w:t>
      </w:r>
      <w:r w:rsidRPr="00473AA3">
        <w:rPr>
          <w:color w:val="231F20"/>
        </w:rPr>
        <w:t xml:space="preserve"> </w:t>
      </w:r>
      <w:r>
        <w:rPr>
          <w:color w:val="231F20"/>
        </w:rPr>
        <w:t>the</w:t>
      </w:r>
      <w:r w:rsidRPr="00473AA3">
        <w:rPr>
          <w:color w:val="231F20"/>
        </w:rPr>
        <w:t xml:space="preserve"> </w:t>
      </w:r>
      <w:r>
        <w:rPr>
          <w:color w:val="231F20"/>
        </w:rPr>
        <w:t>shipyard</w:t>
      </w:r>
      <w:r w:rsidRPr="00473AA3">
        <w:rPr>
          <w:color w:val="231F20"/>
        </w:rPr>
        <w:t xml:space="preserve"> </w:t>
      </w:r>
      <w:r>
        <w:rPr>
          <w:color w:val="231F20"/>
        </w:rPr>
        <w:t>and</w:t>
      </w:r>
      <w:r w:rsidRPr="00473AA3">
        <w:rPr>
          <w:color w:val="231F20"/>
        </w:rPr>
        <w:t xml:space="preserve"> </w:t>
      </w:r>
      <w:r>
        <w:rPr>
          <w:color w:val="231F20"/>
        </w:rPr>
        <w:t>as</w:t>
      </w:r>
      <w:r w:rsidRPr="00473AA3">
        <w:rPr>
          <w:color w:val="231F20"/>
        </w:rPr>
        <w:t xml:space="preserve"> </w:t>
      </w:r>
      <w:r>
        <w:rPr>
          <w:color w:val="231F20"/>
        </w:rPr>
        <w:t>such there is no workers’ compensation bar as to claim against the shipyard.</w:t>
      </w:r>
    </w:p>
    <w:p w14:paraId="185384A2" w14:textId="77777777" w:rsidR="009910CD" w:rsidRDefault="00FC2690" w:rsidP="000C3931">
      <w:pPr>
        <w:spacing w:before="121"/>
        <w:ind w:left="720"/>
      </w:pPr>
      <w:r>
        <w:rPr>
          <w:color w:val="231F20"/>
        </w:rPr>
        <w:t>2012—</w:t>
      </w:r>
      <w:r>
        <w:rPr>
          <w:i/>
          <w:color w:val="231F20"/>
        </w:rPr>
        <w:t>Redifer v.</w:t>
      </w:r>
      <w:r w:rsidR="00B64C57">
        <w:rPr>
          <w:i/>
          <w:color w:val="231F20"/>
        </w:rPr>
        <w:t xml:space="preserve"> </w:t>
      </w:r>
      <w:r>
        <w:rPr>
          <w:i/>
          <w:color w:val="231F20"/>
        </w:rPr>
        <w:t>Chester</w:t>
      </w:r>
      <w:r>
        <w:rPr>
          <w:color w:val="231F20"/>
        </w:rPr>
        <w:t>, 283 Va.</w:t>
      </w:r>
      <w:r w:rsidR="00B64C57">
        <w:rPr>
          <w:color w:val="231F20"/>
        </w:rPr>
        <w:t xml:space="preserve"> </w:t>
      </w:r>
      <w:r>
        <w:rPr>
          <w:color w:val="231F20"/>
        </w:rPr>
        <w:t>121, 720 S.E.2d</w:t>
      </w:r>
      <w:r w:rsidR="00B64C57">
        <w:rPr>
          <w:color w:val="231F20"/>
        </w:rPr>
        <w:t xml:space="preserve"> </w:t>
      </w:r>
      <w:r>
        <w:rPr>
          <w:color w:val="231F20"/>
        </w:rPr>
        <w:t>66.</w:t>
      </w:r>
    </w:p>
    <w:p w14:paraId="5713F093" w14:textId="77777777" w:rsidR="009910CD" w:rsidRPr="00473AA3" w:rsidRDefault="00FC2690" w:rsidP="00E84432">
      <w:pPr>
        <w:pStyle w:val="BodyText"/>
        <w:spacing w:before="120" w:after="120"/>
        <w:ind w:left="1440"/>
        <w:jc w:val="both"/>
        <w:rPr>
          <w:color w:val="231F20"/>
        </w:rPr>
      </w:pPr>
      <w:r>
        <w:rPr>
          <w:color w:val="231F20"/>
        </w:rPr>
        <w:t>Employee injured on the job was awarded workers’ compensation benefits and received some benefits, and was assured of receiving the balance of the benefits either from the employer or from the Uninsured</w:t>
      </w:r>
      <w:r w:rsidRPr="00473AA3">
        <w:rPr>
          <w:color w:val="231F20"/>
        </w:rPr>
        <w:t xml:space="preserve"> </w:t>
      </w:r>
      <w:r>
        <w:rPr>
          <w:color w:val="231F20"/>
        </w:rPr>
        <w:t>Employer’s</w:t>
      </w:r>
      <w:r w:rsidRPr="00473AA3">
        <w:rPr>
          <w:color w:val="231F20"/>
        </w:rPr>
        <w:t xml:space="preserve"> </w:t>
      </w:r>
      <w:r>
        <w:rPr>
          <w:color w:val="231F20"/>
        </w:rPr>
        <w:t>Fund.</w:t>
      </w:r>
      <w:r w:rsidRPr="00473AA3">
        <w:rPr>
          <w:color w:val="231F20"/>
        </w:rPr>
        <w:t xml:space="preserve"> </w:t>
      </w:r>
      <w:r>
        <w:rPr>
          <w:color w:val="231F20"/>
        </w:rPr>
        <w:t>This</w:t>
      </w:r>
      <w:r w:rsidRPr="00473AA3">
        <w:rPr>
          <w:color w:val="231F20"/>
        </w:rPr>
        <w:t xml:space="preserve"> </w:t>
      </w:r>
      <w:r>
        <w:rPr>
          <w:color w:val="231F20"/>
        </w:rPr>
        <w:t>barred</w:t>
      </w:r>
      <w:r w:rsidRPr="00473AA3">
        <w:rPr>
          <w:color w:val="231F20"/>
        </w:rPr>
        <w:t xml:space="preserve"> </w:t>
      </w:r>
      <w:r>
        <w:rPr>
          <w:color w:val="231F20"/>
        </w:rPr>
        <w:t>any</w:t>
      </w:r>
      <w:r w:rsidRPr="00473AA3">
        <w:rPr>
          <w:color w:val="231F20"/>
        </w:rPr>
        <w:t xml:space="preserve"> </w:t>
      </w:r>
      <w:r>
        <w:rPr>
          <w:color w:val="231F20"/>
        </w:rPr>
        <w:t>civil</w:t>
      </w:r>
      <w:r w:rsidRPr="00473AA3">
        <w:rPr>
          <w:color w:val="231F20"/>
        </w:rPr>
        <w:t xml:space="preserve"> </w:t>
      </w:r>
      <w:r>
        <w:rPr>
          <w:color w:val="231F20"/>
        </w:rPr>
        <w:t>action</w:t>
      </w:r>
      <w:r w:rsidRPr="00473AA3">
        <w:rPr>
          <w:color w:val="231F20"/>
        </w:rPr>
        <w:t xml:space="preserve"> </w:t>
      </w:r>
      <w:r>
        <w:rPr>
          <w:color w:val="231F20"/>
        </w:rPr>
        <w:t>against</w:t>
      </w:r>
      <w:r w:rsidRPr="00473AA3">
        <w:rPr>
          <w:color w:val="231F20"/>
        </w:rPr>
        <w:t xml:space="preserve"> </w:t>
      </w:r>
      <w:r>
        <w:rPr>
          <w:color w:val="231F20"/>
        </w:rPr>
        <w:t xml:space="preserve">the employer. An employee may pursue alternative relief at the same time and if the employee fails to collect under one </w:t>
      </w:r>
      <w:r w:rsidRPr="00473AA3">
        <w:rPr>
          <w:color w:val="231F20"/>
        </w:rPr>
        <w:t xml:space="preserve">remedy, </w:t>
      </w:r>
      <w:r>
        <w:rPr>
          <w:color w:val="231F20"/>
        </w:rPr>
        <w:t>then he may pursue the other but may not have a double</w:t>
      </w:r>
      <w:r w:rsidR="00B64C57">
        <w:rPr>
          <w:color w:val="231F20"/>
        </w:rPr>
        <w:t xml:space="preserve"> </w:t>
      </w:r>
      <w:r>
        <w:rPr>
          <w:color w:val="231F20"/>
        </w:rPr>
        <w:t>recovery.</w:t>
      </w:r>
    </w:p>
    <w:p w14:paraId="33011A4F" w14:textId="77777777" w:rsidR="009910CD" w:rsidRDefault="00FC2690" w:rsidP="000C3931">
      <w:pPr>
        <w:spacing w:before="121"/>
        <w:ind w:left="720"/>
      </w:pPr>
      <w:r>
        <w:rPr>
          <w:color w:val="231F20"/>
        </w:rPr>
        <w:t>2012—</w:t>
      </w:r>
      <w:r>
        <w:rPr>
          <w:i/>
          <w:color w:val="231F20"/>
        </w:rPr>
        <w:t xml:space="preserve">Moore </w:t>
      </w:r>
      <w:r>
        <w:rPr>
          <w:i/>
          <w:color w:val="231F20"/>
          <w:spacing w:val="-9"/>
        </w:rPr>
        <w:t>v.</w:t>
      </w:r>
      <w:r w:rsidR="00B64C57">
        <w:rPr>
          <w:i/>
          <w:color w:val="231F20"/>
          <w:spacing w:val="-9"/>
        </w:rPr>
        <w:t xml:space="preserve"> </w:t>
      </w:r>
      <w:r>
        <w:rPr>
          <w:i/>
          <w:color w:val="231F20"/>
          <w:spacing w:val="-4"/>
        </w:rPr>
        <w:t xml:space="preserve">Virginia </w:t>
      </w:r>
      <w:r>
        <w:rPr>
          <w:i/>
          <w:color w:val="231F20"/>
        </w:rPr>
        <w:t xml:space="preserve">Int’l. </w:t>
      </w:r>
      <w:r>
        <w:rPr>
          <w:i/>
          <w:color w:val="231F20"/>
          <w:spacing w:val="-3"/>
        </w:rPr>
        <w:t>Terminals</w:t>
      </w:r>
      <w:r>
        <w:rPr>
          <w:color w:val="231F20"/>
          <w:spacing w:val="-3"/>
        </w:rPr>
        <w:t xml:space="preserve">, </w:t>
      </w:r>
      <w:r>
        <w:rPr>
          <w:color w:val="231F20"/>
        </w:rPr>
        <w:t xml:space="preserve">283 </w:t>
      </w:r>
      <w:r>
        <w:rPr>
          <w:color w:val="231F20"/>
          <w:spacing w:val="-9"/>
        </w:rPr>
        <w:t>Va.</w:t>
      </w:r>
      <w:r w:rsidR="00B64C57">
        <w:rPr>
          <w:color w:val="231F20"/>
          <w:spacing w:val="-9"/>
        </w:rPr>
        <w:t xml:space="preserve"> </w:t>
      </w:r>
      <w:r>
        <w:rPr>
          <w:color w:val="231F20"/>
        </w:rPr>
        <w:t>232, 720 S.E.2d</w:t>
      </w:r>
      <w:r w:rsidR="00B64C57">
        <w:rPr>
          <w:color w:val="231F20"/>
        </w:rPr>
        <w:t xml:space="preserve"> </w:t>
      </w:r>
      <w:r>
        <w:rPr>
          <w:color w:val="231F20"/>
          <w:spacing w:val="-3"/>
        </w:rPr>
        <w:t>117.</w:t>
      </w:r>
    </w:p>
    <w:p w14:paraId="4C5B198C" w14:textId="5EF63F68" w:rsidR="009910CD" w:rsidRPr="00473AA3" w:rsidRDefault="00FC2690" w:rsidP="00E84432">
      <w:pPr>
        <w:pStyle w:val="BodyText"/>
        <w:spacing w:before="120" w:after="120"/>
        <w:ind w:left="1440"/>
        <w:jc w:val="both"/>
        <w:rPr>
          <w:color w:val="231F20"/>
        </w:rPr>
      </w:pPr>
      <w:r>
        <w:rPr>
          <w:color w:val="231F20"/>
        </w:rPr>
        <w:t>Decedent</w:t>
      </w:r>
      <w:r w:rsidRPr="00473AA3">
        <w:rPr>
          <w:color w:val="231F20"/>
        </w:rPr>
        <w:t xml:space="preserve"> </w:t>
      </w:r>
      <w:r>
        <w:rPr>
          <w:color w:val="231F20"/>
        </w:rPr>
        <w:t>in</w:t>
      </w:r>
      <w:r w:rsidRPr="00473AA3">
        <w:rPr>
          <w:color w:val="231F20"/>
        </w:rPr>
        <w:t xml:space="preserve"> </w:t>
      </w:r>
      <w:r>
        <w:rPr>
          <w:color w:val="231F20"/>
        </w:rPr>
        <w:t>this</w:t>
      </w:r>
      <w:r w:rsidRPr="00473AA3">
        <w:rPr>
          <w:color w:val="231F20"/>
        </w:rPr>
        <w:t xml:space="preserve"> </w:t>
      </w:r>
      <w:r>
        <w:rPr>
          <w:color w:val="231F20"/>
        </w:rPr>
        <w:t>wrongful</w:t>
      </w:r>
      <w:r w:rsidRPr="00473AA3">
        <w:rPr>
          <w:color w:val="231F20"/>
        </w:rPr>
        <w:t xml:space="preserve"> </w:t>
      </w:r>
      <w:r>
        <w:rPr>
          <w:color w:val="231F20"/>
        </w:rPr>
        <w:t>death</w:t>
      </w:r>
      <w:r w:rsidRPr="00473AA3">
        <w:rPr>
          <w:color w:val="231F20"/>
        </w:rPr>
        <w:t xml:space="preserve"> </w:t>
      </w:r>
      <w:r>
        <w:rPr>
          <w:color w:val="231F20"/>
        </w:rPr>
        <w:t>action</w:t>
      </w:r>
      <w:r w:rsidRPr="00473AA3">
        <w:rPr>
          <w:color w:val="231F20"/>
        </w:rPr>
        <w:t xml:space="preserve"> </w:t>
      </w:r>
      <w:r>
        <w:rPr>
          <w:color w:val="231F20"/>
        </w:rPr>
        <w:t>was</w:t>
      </w:r>
      <w:r w:rsidRPr="00473AA3">
        <w:rPr>
          <w:color w:val="231F20"/>
        </w:rPr>
        <w:t xml:space="preserve"> </w:t>
      </w:r>
      <w:r>
        <w:rPr>
          <w:color w:val="231F20"/>
        </w:rPr>
        <w:t>an</w:t>
      </w:r>
      <w:r w:rsidRPr="00473AA3">
        <w:rPr>
          <w:color w:val="231F20"/>
        </w:rPr>
        <w:t xml:space="preserve"> </w:t>
      </w:r>
      <w:r>
        <w:rPr>
          <w:color w:val="231F20"/>
        </w:rPr>
        <w:t>employee</w:t>
      </w:r>
      <w:r w:rsidRPr="00473AA3">
        <w:rPr>
          <w:color w:val="231F20"/>
        </w:rPr>
        <w:t xml:space="preserve"> </w:t>
      </w:r>
      <w:r>
        <w:rPr>
          <w:color w:val="231F20"/>
        </w:rPr>
        <w:t>of</w:t>
      </w:r>
      <w:r w:rsidRPr="00473AA3">
        <w:rPr>
          <w:color w:val="231F20"/>
        </w:rPr>
        <w:t xml:space="preserve"> </w:t>
      </w:r>
      <w:r>
        <w:rPr>
          <w:color w:val="231F20"/>
        </w:rPr>
        <w:t>a</w:t>
      </w:r>
      <w:r w:rsidRPr="00473AA3">
        <w:rPr>
          <w:color w:val="231F20"/>
        </w:rPr>
        <w:t xml:space="preserve"> </w:t>
      </w:r>
      <w:r>
        <w:rPr>
          <w:color w:val="231F20"/>
        </w:rPr>
        <w:t xml:space="preserve">private stevedore company assisting in the loading and unloading of a vessel. The </w:t>
      </w:r>
      <w:r w:rsidRPr="00473AA3">
        <w:rPr>
          <w:color w:val="231F20"/>
        </w:rPr>
        <w:t xml:space="preserve">Virginia </w:t>
      </w:r>
      <w:r>
        <w:rPr>
          <w:color w:val="231F20"/>
        </w:rPr>
        <w:t xml:space="preserve">Port Authority created a non-profit, non-stock terminal corporation to perform certain functions. An employee of this latter corporation was responsible for the death of the decedent. The </w:t>
      </w:r>
      <w:r w:rsidR="00AE3B68">
        <w:rPr>
          <w:color w:val="231F20"/>
        </w:rPr>
        <w:t>t</w:t>
      </w:r>
      <w:r>
        <w:rPr>
          <w:color w:val="231F20"/>
        </w:rPr>
        <w:t xml:space="preserve">rial </w:t>
      </w:r>
      <w:r w:rsidR="00AE3B68">
        <w:rPr>
          <w:color w:val="231F20"/>
        </w:rPr>
        <w:t>c</w:t>
      </w:r>
      <w:r>
        <w:rPr>
          <w:color w:val="231F20"/>
        </w:rPr>
        <w:t>ourt incorrectly determin</w:t>
      </w:r>
      <w:r w:rsidR="00103F1A">
        <w:rPr>
          <w:color w:val="231F20"/>
        </w:rPr>
        <w:t>ed that the parties were statu</w:t>
      </w:r>
      <w:r>
        <w:rPr>
          <w:color w:val="231F20"/>
        </w:rPr>
        <w:t>tory</w:t>
      </w:r>
      <w:r w:rsidRPr="00473AA3">
        <w:rPr>
          <w:color w:val="231F20"/>
        </w:rPr>
        <w:t xml:space="preserve"> </w:t>
      </w:r>
      <w:r>
        <w:rPr>
          <w:color w:val="231F20"/>
        </w:rPr>
        <w:t>employees</w:t>
      </w:r>
      <w:r w:rsidRPr="00473AA3">
        <w:rPr>
          <w:color w:val="231F20"/>
        </w:rPr>
        <w:t xml:space="preserve"> </w:t>
      </w:r>
      <w:r>
        <w:rPr>
          <w:color w:val="231F20"/>
        </w:rPr>
        <w:t>of</w:t>
      </w:r>
      <w:r w:rsidRPr="00473AA3">
        <w:rPr>
          <w:color w:val="231F20"/>
        </w:rPr>
        <w:t xml:space="preserve"> </w:t>
      </w:r>
      <w:r>
        <w:rPr>
          <w:color w:val="231F20"/>
        </w:rPr>
        <w:t>the</w:t>
      </w:r>
      <w:r w:rsidRPr="00473AA3">
        <w:rPr>
          <w:color w:val="231F20"/>
        </w:rPr>
        <w:t xml:space="preserve"> Virginia </w:t>
      </w:r>
      <w:r>
        <w:rPr>
          <w:color w:val="231F20"/>
        </w:rPr>
        <w:t>Port</w:t>
      </w:r>
      <w:r w:rsidRPr="00473AA3">
        <w:rPr>
          <w:color w:val="231F20"/>
        </w:rPr>
        <w:t xml:space="preserve"> </w:t>
      </w:r>
      <w:r>
        <w:rPr>
          <w:color w:val="231F20"/>
        </w:rPr>
        <w:t>Authority.</w:t>
      </w:r>
      <w:r w:rsidRPr="00473AA3">
        <w:rPr>
          <w:color w:val="231F20"/>
        </w:rPr>
        <w:t xml:space="preserve"> </w:t>
      </w:r>
      <w:r>
        <w:rPr>
          <w:color w:val="231F20"/>
        </w:rPr>
        <w:t>In</w:t>
      </w:r>
      <w:r w:rsidRPr="00473AA3">
        <w:rPr>
          <w:color w:val="231F20"/>
        </w:rPr>
        <w:t xml:space="preserve"> </w:t>
      </w:r>
      <w:r>
        <w:rPr>
          <w:color w:val="231F20"/>
        </w:rPr>
        <w:t>this</w:t>
      </w:r>
      <w:r w:rsidRPr="00473AA3">
        <w:rPr>
          <w:color w:val="231F20"/>
        </w:rPr>
        <w:t xml:space="preserve"> </w:t>
      </w:r>
      <w:r>
        <w:rPr>
          <w:color w:val="231F20"/>
        </w:rPr>
        <w:t>case,</w:t>
      </w:r>
      <w:r w:rsidRPr="00473AA3">
        <w:rPr>
          <w:color w:val="231F20"/>
        </w:rPr>
        <w:t xml:space="preserve"> </w:t>
      </w:r>
      <w:r>
        <w:rPr>
          <w:color w:val="231F20"/>
        </w:rPr>
        <w:t>there</w:t>
      </w:r>
      <w:r w:rsidRPr="00473AA3">
        <w:rPr>
          <w:color w:val="231F20"/>
        </w:rPr>
        <w:t xml:space="preserve"> </w:t>
      </w:r>
      <w:r>
        <w:rPr>
          <w:color w:val="231F20"/>
        </w:rPr>
        <w:t xml:space="preserve">was no contract between the plaintiff’s employer and the Port </w:t>
      </w:r>
      <w:r>
        <w:rPr>
          <w:color w:val="231F20"/>
        </w:rPr>
        <w:lastRenderedPageBreak/>
        <w:t xml:space="preserve">Authority. Under the terms of </w:t>
      </w:r>
      <w:r w:rsidR="002F24E0">
        <w:rPr>
          <w:color w:val="231F20"/>
        </w:rPr>
        <w:t>Va.</w:t>
      </w:r>
      <w:r w:rsidRPr="00473AA3">
        <w:rPr>
          <w:color w:val="231F20"/>
        </w:rPr>
        <w:t xml:space="preserve"> </w:t>
      </w:r>
      <w:r>
        <w:rPr>
          <w:color w:val="231F20"/>
        </w:rPr>
        <w:t>Code § 65.2-302, the work must be part of</w:t>
      </w:r>
      <w:r w:rsidRPr="00473AA3">
        <w:rPr>
          <w:color w:val="231F20"/>
        </w:rPr>
        <w:t xml:space="preserve"> </w:t>
      </w:r>
      <w:r>
        <w:rPr>
          <w:color w:val="231F20"/>
        </w:rPr>
        <w:t>the</w:t>
      </w:r>
      <w:r w:rsidRPr="00473AA3">
        <w:rPr>
          <w:color w:val="231F20"/>
        </w:rPr>
        <w:t xml:space="preserve"> </w:t>
      </w:r>
      <w:r>
        <w:rPr>
          <w:color w:val="231F20"/>
        </w:rPr>
        <w:t>owner’s</w:t>
      </w:r>
      <w:r w:rsidRPr="00473AA3">
        <w:rPr>
          <w:color w:val="231F20"/>
        </w:rPr>
        <w:t xml:space="preserve"> </w:t>
      </w:r>
      <w:r>
        <w:rPr>
          <w:color w:val="231F20"/>
        </w:rPr>
        <w:t>trade</w:t>
      </w:r>
      <w:r w:rsidRPr="00473AA3">
        <w:rPr>
          <w:color w:val="231F20"/>
        </w:rPr>
        <w:t xml:space="preserve"> </w:t>
      </w:r>
      <w:r>
        <w:rPr>
          <w:color w:val="231F20"/>
        </w:rPr>
        <w:t>business</w:t>
      </w:r>
      <w:r w:rsidRPr="00473AA3">
        <w:rPr>
          <w:color w:val="231F20"/>
        </w:rPr>
        <w:t xml:space="preserve"> </w:t>
      </w:r>
      <w:r>
        <w:rPr>
          <w:color w:val="231F20"/>
        </w:rPr>
        <w:t>or</w:t>
      </w:r>
      <w:r w:rsidRPr="00473AA3">
        <w:rPr>
          <w:color w:val="231F20"/>
        </w:rPr>
        <w:t xml:space="preserve"> </w:t>
      </w:r>
      <w:r>
        <w:rPr>
          <w:color w:val="231F20"/>
        </w:rPr>
        <w:t>occupation</w:t>
      </w:r>
      <w:r w:rsidRPr="00473AA3">
        <w:rPr>
          <w:color w:val="231F20"/>
        </w:rPr>
        <w:t xml:space="preserve"> </w:t>
      </w:r>
      <w:r>
        <w:rPr>
          <w:color w:val="231F20"/>
        </w:rPr>
        <w:t>and</w:t>
      </w:r>
      <w:r w:rsidRPr="00473AA3">
        <w:rPr>
          <w:color w:val="231F20"/>
        </w:rPr>
        <w:t xml:space="preserve"> </w:t>
      </w:r>
      <w:r>
        <w:rPr>
          <w:color w:val="231F20"/>
        </w:rPr>
        <w:t>the</w:t>
      </w:r>
      <w:r w:rsidRPr="00473AA3">
        <w:rPr>
          <w:color w:val="231F20"/>
        </w:rPr>
        <w:t xml:space="preserve"> </w:t>
      </w:r>
      <w:r>
        <w:rPr>
          <w:color w:val="231F20"/>
        </w:rPr>
        <w:t>owner</w:t>
      </w:r>
      <w:r w:rsidRPr="00473AA3">
        <w:rPr>
          <w:color w:val="231F20"/>
        </w:rPr>
        <w:t xml:space="preserve"> </w:t>
      </w:r>
      <w:r>
        <w:rPr>
          <w:color w:val="231F20"/>
        </w:rPr>
        <w:t>must</w:t>
      </w:r>
      <w:r w:rsidR="00F372C2" w:rsidRPr="00473AA3">
        <w:rPr>
          <w:color w:val="231F20"/>
        </w:rPr>
        <w:t xml:space="preserve"> </w:t>
      </w:r>
      <w:r>
        <w:rPr>
          <w:color w:val="231F20"/>
        </w:rPr>
        <w:t>have contracted with another to perform the work. In this case,</w:t>
      </w:r>
      <w:r w:rsidRPr="00473AA3">
        <w:rPr>
          <w:color w:val="231F20"/>
        </w:rPr>
        <w:t xml:space="preserve"> </w:t>
      </w:r>
      <w:r>
        <w:rPr>
          <w:color w:val="231F20"/>
        </w:rPr>
        <w:t>there was no such</w:t>
      </w:r>
      <w:r w:rsidRPr="00473AA3">
        <w:rPr>
          <w:color w:val="231F20"/>
        </w:rPr>
        <w:t xml:space="preserve"> </w:t>
      </w:r>
      <w:r>
        <w:rPr>
          <w:color w:val="231F20"/>
        </w:rPr>
        <w:t>contract.</w:t>
      </w:r>
    </w:p>
    <w:p w14:paraId="6AE91FF6" w14:textId="77777777" w:rsidR="009910CD" w:rsidRDefault="00FC2690" w:rsidP="000C3931">
      <w:pPr>
        <w:spacing w:before="126" w:line="250" w:lineRule="exact"/>
        <w:ind w:left="720" w:right="821"/>
      </w:pPr>
      <w:r>
        <w:rPr>
          <w:color w:val="231F20"/>
        </w:rPr>
        <w:t>2011—</w:t>
      </w:r>
      <w:r>
        <w:rPr>
          <w:i/>
          <w:color w:val="231F20"/>
        </w:rPr>
        <w:t>David White Crane Service v. Howell</w:t>
      </w:r>
      <w:r>
        <w:rPr>
          <w:color w:val="231F20"/>
        </w:rPr>
        <w:t>, 282 Va. 323, 714 S.E.2d 572.</w:t>
      </w:r>
    </w:p>
    <w:p w14:paraId="0C7C1316" w14:textId="77777777" w:rsidR="009910CD" w:rsidRPr="00473AA3" w:rsidRDefault="00FC2690" w:rsidP="00E84432">
      <w:pPr>
        <w:pStyle w:val="BodyText"/>
        <w:spacing w:before="120" w:after="120"/>
        <w:ind w:left="1440"/>
        <w:jc w:val="both"/>
        <w:rPr>
          <w:color w:val="231F20"/>
        </w:rPr>
      </w:pPr>
      <w:r>
        <w:rPr>
          <w:color w:val="231F20"/>
        </w:rPr>
        <w:t>Employee of general contractor on construction site sued uninsured subcontractor for negligence. Uninsured subcontractor is statutory employer even though uninsured. Claim</w:t>
      </w:r>
      <w:r w:rsidR="00B64C57">
        <w:rPr>
          <w:color w:val="231F20"/>
        </w:rPr>
        <w:t xml:space="preserve"> </w:t>
      </w:r>
      <w:r>
        <w:rPr>
          <w:color w:val="231F20"/>
        </w:rPr>
        <w:t>barred.</w:t>
      </w:r>
    </w:p>
    <w:p w14:paraId="0EF4EA11" w14:textId="77777777" w:rsidR="009910CD" w:rsidRDefault="009910CD">
      <w:pPr>
        <w:pStyle w:val="BodyText"/>
      </w:pPr>
    </w:p>
    <w:p w14:paraId="64C4550E" w14:textId="77777777" w:rsidR="003D5ECF" w:rsidRDefault="003D5ECF">
      <w:pPr>
        <w:rPr>
          <w:b/>
          <w:bCs/>
          <w:color w:val="231F20"/>
          <w:sz w:val="40"/>
          <w:szCs w:val="40"/>
        </w:rPr>
      </w:pPr>
      <w:r>
        <w:rPr>
          <w:color w:val="231F20"/>
        </w:rPr>
        <w:br w:type="page"/>
      </w:r>
    </w:p>
    <w:p w14:paraId="5AFFF3D8" w14:textId="77777777" w:rsidR="006149E6" w:rsidRDefault="00FC2690" w:rsidP="006149E6">
      <w:pPr>
        <w:pStyle w:val="Heading1"/>
        <w:spacing w:line="328" w:lineRule="auto"/>
        <w:ind w:left="0" w:right="0" w:firstLine="0"/>
        <w:jc w:val="center"/>
        <w:rPr>
          <w:color w:val="231F20"/>
        </w:rPr>
      </w:pPr>
      <w:r>
        <w:rPr>
          <w:color w:val="231F20"/>
        </w:rPr>
        <w:lastRenderedPageBreak/>
        <w:t xml:space="preserve">Chapter 12 </w:t>
      </w:r>
    </w:p>
    <w:p w14:paraId="283A85AE" w14:textId="77777777" w:rsidR="009910CD" w:rsidRDefault="00FC2690" w:rsidP="006149E6">
      <w:pPr>
        <w:pStyle w:val="Heading1"/>
        <w:spacing w:line="328" w:lineRule="auto"/>
        <w:ind w:left="0" w:right="0" w:firstLine="0"/>
        <w:jc w:val="center"/>
      </w:pPr>
      <w:r>
        <w:rPr>
          <w:color w:val="231F20"/>
        </w:rPr>
        <w:t>WRONGFUL DEATH</w:t>
      </w:r>
    </w:p>
    <w:p w14:paraId="68272060"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12.02</w:t>
      </w:r>
      <w:r>
        <w:rPr>
          <w:color w:val="231F20"/>
        </w:rPr>
        <w:tab/>
        <w:t>Distribution</w:t>
      </w:r>
    </w:p>
    <w:p w14:paraId="4011FD9C" w14:textId="77777777" w:rsidR="009910CD" w:rsidRDefault="00FC2690" w:rsidP="000C3931">
      <w:pPr>
        <w:spacing w:before="136"/>
        <w:ind w:left="720"/>
      </w:pPr>
      <w:r>
        <w:rPr>
          <w:color w:val="231F20"/>
        </w:rPr>
        <w:t>2015—</w:t>
      </w:r>
      <w:r>
        <w:rPr>
          <w:i/>
          <w:color w:val="231F20"/>
        </w:rPr>
        <w:t xml:space="preserve">In </w:t>
      </w:r>
      <w:r>
        <w:rPr>
          <w:i/>
          <w:color w:val="231F20"/>
          <w:spacing w:val="-5"/>
        </w:rPr>
        <w:t xml:space="preserve">re </w:t>
      </w:r>
      <w:r>
        <w:rPr>
          <w:i/>
          <w:color w:val="231F20"/>
          <w:spacing w:val="-3"/>
        </w:rPr>
        <w:t>Woodley</w:t>
      </w:r>
      <w:r>
        <w:rPr>
          <w:color w:val="231F20"/>
          <w:spacing w:val="-3"/>
        </w:rPr>
        <w:t xml:space="preserve">, </w:t>
      </w:r>
      <w:r>
        <w:rPr>
          <w:color w:val="231F20"/>
        </w:rPr>
        <w:t xml:space="preserve">290 </w:t>
      </w:r>
      <w:r>
        <w:rPr>
          <w:color w:val="231F20"/>
          <w:spacing w:val="-9"/>
        </w:rPr>
        <w:t>Va.</w:t>
      </w:r>
      <w:r w:rsidR="00B64C57">
        <w:rPr>
          <w:color w:val="231F20"/>
          <w:spacing w:val="-9"/>
        </w:rPr>
        <w:t xml:space="preserve"> </w:t>
      </w:r>
      <w:r>
        <w:rPr>
          <w:color w:val="231F20"/>
        </w:rPr>
        <w:t>482, 777 S.E.2d</w:t>
      </w:r>
      <w:r w:rsidR="00B64C57">
        <w:rPr>
          <w:color w:val="231F20"/>
        </w:rPr>
        <w:t xml:space="preserve"> </w:t>
      </w:r>
      <w:r>
        <w:rPr>
          <w:color w:val="231F20"/>
        </w:rPr>
        <w:t>560.</w:t>
      </w:r>
    </w:p>
    <w:p w14:paraId="0D3B1162" w14:textId="77777777" w:rsidR="009910CD" w:rsidRPr="00473AA3" w:rsidRDefault="00FC2690" w:rsidP="00E84432">
      <w:pPr>
        <w:pStyle w:val="BodyText"/>
        <w:spacing w:before="120" w:after="120"/>
        <w:ind w:left="1440"/>
        <w:jc w:val="both"/>
        <w:rPr>
          <w:color w:val="231F20"/>
        </w:rPr>
      </w:pPr>
      <w:r>
        <w:rPr>
          <w:color w:val="231F20"/>
        </w:rPr>
        <w:t>In this wrongful death action trial court erred in ordering that the awards to minors be held by the clerk of the court until they reach the age of majority and thereby rejecting payment to irrevocable trust proposed by the parents to be professionally</w:t>
      </w:r>
      <w:r w:rsidR="00B64C57">
        <w:rPr>
          <w:color w:val="231F20"/>
        </w:rPr>
        <w:t xml:space="preserve"> </w:t>
      </w:r>
      <w:r>
        <w:rPr>
          <w:color w:val="231F20"/>
        </w:rPr>
        <w:t>managed.</w:t>
      </w:r>
    </w:p>
    <w:p w14:paraId="2E16898F"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12.03</w:t>
      </w:r>
      <w:r>
        <w:rPr>
          <w:color w:val="231F20"/>
        </w:rPr>
        <w:tab/>
        <w:t>Limitations</w:t>
      </w:r>
    </w:p>
    <w:p w14:paraId="31A80C31" w14:textId="77777777" w:rsidR="009910CD" w:rsidRDefault="00FC2690" w:rsidP="000C3931">
      <w:pPr>
        <w:spacing w:before="136"/>
        <w:ind w:left="720"/>
      </w:pPr>
      <w:r>
        <w:rPr>
          <w:color w:val="231F20"/>
        </w:rPr>
        <w:t>2010—</w:t>
      </w:r>
      <w:r>
        <w:rPr>
          <w:i/>
          <w:color w:val="231F20"/>
        </w:rPr>
        <w:t xml:space="preserve">Conger </w:t>
      </w:r>
      <w:r>
        <w:rPr>
          <w:i/>
          <w:color w:val="231F20"/>
          <w:spacing w:val="-9"/>
        </w:rPr>
        <w:t>v.</w:t>
      </w:r>
      <w:r w:rsidR="00B64C57">
        <w:rPr>
          <w:i/>
          <w:color w:val="231F20"/>
          <w:spacing w:val="-9"/>
        </w:rPr>
        <w:t xml:space="preserve"> </w:t>
      </w:r>
      <w:r>
        <w:rPr>
          <w:i/>
          <w:color w:val="231F20"/>
        </w:rPr>
        <w:t>Barrett</w:t>
      </w:r>
      <w:r>
        <w:rPr>
          <w:color w:val="231F20"/>
        </w:rPr>
        <w:t xml:space="preserve">, 280 </w:t>
      </w:r>
      <w:r>
        <w:rPr>
          <w:color w:val="231F20"/>
          <w:spacing w:val="-9"/>
        </w:rPr>
        <w:t>Va.</w:t>
      </w:r>
      <w:r w:rsidR="00B64C57">
        <w:rPr>
          <w:color w:val="231F20"/>
          <w:spacing w:val="-9"/>
        </w:rPr>
        <w:t xml:space="preserve"> </w:t>
      </w:r>
      <w:r>
        <w:rPr>
          <w:color w:val="231F20"/>
        </w:rPr>
        <w:t>627, 702 S.E.2d</w:t>
      </w:r>
      <w:r>
        <w:rPr>
          <w:color w:val="231F20"/>
          <w:spacing w:val="53"/>
        </w:rPr>
        <w:t xml:space="preserve"> </w:t>
      </w:r>
      <w:r>
        <w:rPr>
          <w:color w:val="231F20"/>
          <w:spacing w:val="-3"/>
        </w:rPr>
        <w:t>117.</w:t>
      </w:r>
    </w:p>
    <w:p w14:paraId="16E87418" w14:textId="77777777" w:rsidR="009910CD" w:rsidRPr="00473AA3" w:rsidRDefault="00FC2690" w:rsidP="00E84432">
      <w:pPr>
        <w:pStyle w:val="BodyText"/>
        <w:spacing w:before="120" w:after="120"/>
        <w:ind w:left="1440"/>
        <w:jc w:val="both"/>
        <w:rPr>
          <w:color w:val="231F20"/>
        </w:rPr>
      </w:pPr>
      <w:r>
        <w:rPr>
          <w:color w:val="231F20"/>
        </w:rPr>
        <w:t>Wrongful</w:t>
      </w:r>
      <w:r w:rsidRPr="00473AA3">
        <w:rPr>
          <w:color w:val="231F20"/>
        </w:rPr>
        <w:t xml:space="preserve"> </w:t>
      </w:r>
      <w:r>
        <w:rPr>
          <w:color w:val="231F20"/>
        </w:rPr>
        <w:t>death</w:t>
      </w:r>
      <w:r w:rsidRPr="00473AA3">
        <w:rPr>
          <w:color w:val="231F20"/>
        </w:rPr>
        <w:t xml:space="preserve"> </w:t>
      </w:r>
      <w:r>
        <w:rPr>
          <w:color w:val="231F20"/>
        </w:rPr>
        <w:t>action</w:t>
      </w:r>
      <w:r w:rsidRPr="00473AA3">
        <w:rPr>
          <w:color w:val="231F20"/>
        </w:rPr>
        <w:t xml:space="preserve"> </w:t>
      </w:r>
      <w:r>
        <w:rPr>
          <w:color w:val="231F20"/>
        </w:rPr>
        <w:t>was</w:t>
      </w:r>
      <w:r w:rsidRPr="00473AA3">
        <w:rPr>
          <w:color w:val="231F20"/>
        </w:rPr>
        <w:t xml:space="preserve"> </w:t>
      </w:r>
      <w:r>
        <w:rPr>
          <w:color w:val="231F20"/>
        </w:rPr>
        <w:t>dismissed</w:t>
      </w:r>
      <w:r w:rsidRPr="00473AA3">
        <w:rPr>
          <w:color w:val="231F20"/>
        </w:rPr>
        <w:t xml:space="preserve"> </w:t>
      </w:r>
      <w:r>
        <w:rPr>
          <w:color w:val="231F20"/>
        </w:rPr>
        <w:t>due</w:t>
      </w:r>
      <w:r w:rsidRPr="00473AA3">
        <w:rPr>
          <w:color w:val="231F20"/>
        </w:rPr>
        <w:t xml:space="preserve"> </w:t>
      </w:r>
      <w:r>
        <w:rPr>
          <w:color w:val="231F20"/>
        </w:rPr>
        <w:t>to</w:t>
      </w:r>
      <w:r w:rsidRPr="00473AA3">
        <w:rPr>
          <w:color w:val="231F20"/>
        </w:rPr>
        <w:t xml:space="preserve"> </w:t>
      </w:r>
      <w:r>
        <w:rPr>
          <w:color w:val="231F20"/>
        </w:rPr>
        <w:t>inactivity</w:t>
      </w:r>
      <w:r w:rsidRPr="00473AA3">
        <w:rPr>
          <w:color w:val="231F20"/>
        </w:rPr>
        <w:t xml:space="preserve"> </w:t>
      </w:r>
      <w:r>
        <w:rPr>
          <w:color w:val="231F20"/>
        </w:rPr>
        <w:t>but</w:t>
      </w:r>
      <w:r w:rsidRPr="00473AA3">
        <w:rPr>
          <w:color w:val="231F20"/>
        </w:rPr>
        <w:t xml:space="preserve"> </w:t>
      </w:r>
      <w:r>
        <w:rPr>
          <w:color w:val="231F20"/>
        </w:rPr>
        <w:t xml:space="preserve">reinstated within one </w:t>
      </w:r>
      <w:r w:rsidRPr="00473AA3">
        <w:rPr>
          <w:color w:val="231F20"/>
        </w:rPr>
        <w:t xml:space="preserve">year. </w:t>
      </w:r>
      <w:r>
        <w:rPr>
          <w:color w:val="231F20"/>
        </w:rPr>
        <w:t>Such action is not time barred as it does not constitute another action but is simply the reopening of an existing action.</w:t>
      </w:r>
    </w:p>
    <w:p w14:paraId="6EBA6A59"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12.04</w:t>
      </w:r>
      <w:r>
        <w:rPr>
          <w:color w:val="231F20"/>
        </w:rPr>
        <w:tab/>
        <w:t>Miscellaneous</w:t>
      </w:r>
    </w:p>
    <w:p w14:paraId="008EC9ED" w14:textId="77777777" w:rsidR="009910CD" w:rsidRPr="00473AA3" w:rsidRDefault="00FC2690" w:rsidP="00547312">
      <w:pPr>
        <w:pStyle w:val="BodyText"/>
        <w:spacing w:before="73" w:line="252" w:lineRule="auto"/>
        <w:ind w:left="720"/>
        <w:jc w:val="both"/>
        <w:rPr>
          <w:color w:val="231F20"/>
        </w:rPr>
      </w:pPr>
      <w:r w:rsidRPr="002046B8">
        <w:rPr>
          <w:i/>
          <w:iCs/>
          <w:color w:val="231F20"/>
        </w:rPr>
        <w:t>See</w:t>
      </w:r>
      <w:r w:rsidRPr="00473AA3">
        <w:rPr>
          <w:color w:val="231F20"/>
        </w:rPr>
        <w:t xml:space="preserve"> </w:t>
      </w:r>
      <w:r>
        <w:rPr>
          <w:color w:val="231F20"/>
        </w:rPr>
        <w:t>Va.</w:t>
      </w:r>
      <w:r w:rsidR="00B64C57">
        <w:rPr>
          <w:color w:val="231F20"/>
        </w:rPr>
        <w:t xml:space="preserve"> </w:t>
      </w:r>
      <w:r>
        <w:rPr>
          <w:color w:val="231F20"/>
        </w:rPr>
        <w:t>Code § 8.01-50B allowing recovery for fetal</w:t>
      </w:r>
      <w:r w:rsidR="00B64C57">
        <w:rPr>
          <w:color w:val="231F20"/>
        </w:rPr>
        <w:t xml:space="preserve"> </w:t>
      </w:r>
      <w:r>
        <w:rPr>
          <w:color w:val="231F20"/>
        </w:rPr>
        <w:t>death.</w:t>
      </w:r>
    </w:p>
    <w:p w14:paraId="00E54AAA" w14:textId="77777777" w:rsidR="009910CD" w:rsidRPr="00ED1338" w:rsidRDefault="00FC2690" w:rsidP="003D5ECF">
      <w:pPr>
        <w:pStyle w:val="Heading4"/>
        <w:tabs>
          <w:tab w:val="left" w:pos="720"/>
        </w:tabs>
        <w:spacing w:before="120" w:line="241" w:lineRule="exact"/>
        <w:ind w:left="0"/>
        <w:rPr>
          <w:color w:val="231F20"/>
        </w:rPr>
      </w:pPr>
      <w:r>
        <w:rPr>
          <w:color w:val="231F20"/>
        </w:rPr>
        <w:t>§</w:t>
      </w:r>
      <w:r w:rsidRPr="00ED1338">
        <w:rPr>
          <w:color w:val="231F20"/>
        </w:rPr>
        <w:t xml:space="preserve"> </w:t>
      </w:r>
      <w:r>
        <w:rPr>
          <w:color w:val="231F20"/>
        </w:rPr>
        <w:t>12.05</w:t>
      </w:r>
      <w:r>
        <w:rPr>
          <w:color w:val="231F20"/>
        </w:rPr>
        <w:tab/>
        <w:t>Personal</w:t>
      </w:r>
      <w:r w:rsidRPr="00ED1338">
        <w:rPr>
          <w:color w:val="231F20"/>
        </w:rPr>
        <w:t xml:space="preserve"> </w:t>
      </w:r>
      <w:r>
        <w:rPr>
          <w:color w:val="231F20"/>
        </w:rPr>
        <w:t>Representative</w:t>
      </w:r>
    </w:p>
    <w:p w14:paraId="776E0CC2" w14:textId="77777777" w:rsidR="009910CD" w:rsidRDefault="00FC2690" w:rsidP="009825CC">
      <w:pPr>
        <w:spacing w:before="135"/>
        <w:ind w:left="720"/>
      </w:pPr>
      <w:r>
        <w:rPr>
          <w:color w:val="231F20"/>
        </w:rPr>
        <w:t>2011—</w:t>
      </w:r>
      <w:r>
        <w:rPr>
          <w:i/>
          <w:color w:val="231F20"/>
        </w:rPr>
        <w:t>Addison v.</w:t>
      </w:r>
      <w:r w:rsidR="00B64C57">
        <w:rPr>
          <w:i/>
          <w:color w:val="231F20"/>
        </w:rPr>
        <w:t xml:space="preserve"> </w:t>
      </w:r>
      <w:r>
        <w:rPr>
          <w:i/>
          <w:color w:val="231F20"/>
        </w:rPr>
        <w:t>Jurgelsky</w:t>
      </w:r>
      <w:r>
        <w:rPr>
          <w:color w:val="231F20"/>
        </w:rPr>
        <w:t>, 281 Va.</w:t>
      </w:r>
      <w:r w:rsidR="00B64C57">
        <w:rPr>
          <w:color w:val="231F20"/>
        </w:rPr>
        <w:t xml:space="preserve"> </w:t>
      </w:r>
      <w:r>
        <w:rPr>
          <w:color w:val="231F20"/>
        </w:rPr>
        <w:t>205, 704 S.E.2d 402.</w:t>
      </w:r>
    </w:p>
    <w:p w14:paraId="53EC723C" w14:textId="77777777" w:rsidR="009910CD" w:rsidRPr="00473AA3" w:rsidRDefault="00FC2690" w:rsidP="00547312">
      <w:pPr>
        <w:pStyle w:val="BodyText"/>
        <w:spacing w:before="120" w:after="120"/>
        <w:ind w:left="1440"/>
        <w:jc w:val="both"/>
        <w:rPr>
          <w:color w:val="231F20"/>
        </w:rPr>
      </w:pPr>
      <w:r>
        <w:rPr>
          <w:color w:val="231F20"/>
        </w:rPr>
        <w:t>In this wrongful death action against physicians the fact that it was commenced by only one of two co-administrators does not justify dismissal as being time barred when the second co-administrator was joined after the statute of limitations had run. Virginia Code Section 8.01-5(A) permits such.</w:t>
      </w:r>
    </w:p>
    <w:p w14:paraId="30E74DC7" w14:textId="77777777" w:rsidR="009910CD" w:rsidRDefault="00FC2690" w:rsidP="009825CC">
      <w:pPr>
        <w:spacing w:before="111"/>
        <w:ind w:left="720"/>
      </w:pPr>
      <w:r>
        <w:rPr>
          <w:color w:val="231F20"/>
        </w:rPr>
        <w:t>2010—</w:t>
      </w:r>
      <w:r>
        <w:rPr>
          <w:i/>
          <w:color w:val="231F20"/>
        </w:rPr>
        <w:t>Hawthorne v.</w:t>
      </w:r>
      <w:r w:rsidR="00B64C57">
        <w:rPr>
          <w:i/>
          <w:color w:val="231F20"/>
        </w:rPr>
        <w:t xml:space="preserve"> </w:t>
      </w:r>
      <w:r>
        <w:rPr>
          <w:i/>
          <w:color w:val="231F20"/>
        </w:rPr>
        <w:t>VanMarter</w:t>
      </w:r>
      <w:r>
        <w:rPr>
          <w:color w:val="231F20"/>
        </w:rPr>
        <w:t>, 279 Va.</w:t>
      </w:r>
      <w:r w:rsidR="00B64C57">
        <w:rPr>
          <w:color w:val="231F20"/>
        </w:rPr>
        <w:t xml:space="preserve"> </w:t>
      </w:r>
      <w:r>
        <w:rPr>
          <w:color w:val="231F20"/>
        </w:rPr>
        <w:t>566, 692 S.E.2d</w:t>
      </w:r>
      <w:r w:rsidR="00B64C57">
        <w:rPr>
          <w:color w:val="231F20"/>
        </w:rPr>
        <w:t xml:space="preserve"> </w:t>
      </w:r>
      <w:r>
        <w:rPr>
          <w:color w:val="231F20"/>
        </w:rPr>
        <w:t>226.</w:t>
      </w:r>
    </w:p>
    <w:p w14:paraId="349F86F0" w14:textId="77777777" w:rsidR="009910CD" w:rsidRPr="00473AA3" w:rsidRDefault="00FC2690" w:rsidP="00547312">
      <w:pPr>
        <w:pStyle w:val="BodyText"/>
        <w:spacing w:before="120" w:after="120"/>
        <w:ind w:left="1440"/>
        <w:jc w:val="both"/>
        <w:rPr>
          <w:color w:val="231F20"/>
        </w:rPr>
      </w:pPr>
      <w:r>
        <w:rPr>
          <w:color w:val="231F20"/>
        </w:rPr>
        <w:t>Administrator of decedent’s estate has no right to file appeal in pro se capacity.</w:t>
      </w:r>
    </w:p>
    <w:p w14:paraId="67086F24" w14:textId="77777777" w:rsidR="009910CD" w:rsidRDefault="00FC2690" w:rsidP="009825CC">
      <w:pPr>
        <w:spacing w:before="118"/>
        <w:ind w:left="720"/>
      </w:pPr>
      <w:r>
        <w:rPr>
          <w:color w:val="231F20"/>
        </w:rPr>
        <w:t>2010—</w:t>
      </w:r>
      <w:r>
        <w:rPr>
          <w:i/>
          <w:color w:val="231F20"/>
        </w:rPr>
        <w:t>Antisdel v. Ashby</w:t>
      </w:r>
      <w:r>
        <w:rPr>
          <w:color w:val="231F20"/>
        </w:rPr>
        <w:t>, 279 Va.</w:t>
      </w:r>
      <w:r w:rsidR="00B64C57">
        <w:rPr>
          <w:color w:val="231F20"/>
        </w:rPr>
        <w:t xml:space="preserve"> </w:t>
      </w:r>
      <w:r>
        <w:rPr>
          <w:color w:val="231F20"/>
        </w:rPr>
        <w:t>42, 688 S.E.2d</w:t>
      </w:r>
      <w:r w:rsidR="00B64C57">
        <w:rPr>
          <w:color w:val="231F20"/>
        </w:rPr>
        <w:t xml:space="preserve"> </w:t>
      </w:r>
      <w:r>
        <w:rPr>
          <w:color w:val="231F20"/>
        </w:rPr>
        <w:t>163.</w:t>
      </w:r>
    </w:p>
    <w:p w14:paraId="499C9CA2" w14:textId="77777777" w:rsidR="009910CD" w:rsidRPr="00473AA3" w:rsidRDefault="00FC2690" w:rsidP="00547312">
      <w:pPr>
        <w:pStyle w:val="BodyText"/>
        <w:spacing w:before="120" w:after="120"/>
        <w:ind w:left="1440"/>
        <w:jc w:val="both"/>
        <w:rPr>
          <w:color w:val="231F20"/>
        </w:rPr>
      </w:pPr>
      <w:r>
        <w:rPr>
          <w:color w:val="231F20"/>
        </w:rPr>
        <w:t>Personal</w:t>
      </w:r>
      <w:r w:rsidRPr="00473AA3">
        <w:rPr>
          <w:color w:val="231F20"/>
        </w:rPr>
        <w:t xml:space="preserve"> </w:t>
      </w:r>
      <w:r>
        <w:rPr>
          <w:color w:val="231F20"/>
        </w:rPr>
        <w:t>representative</w:t>
      </w:r>
      <w:r w:rsidRPr="00473AA3">
        <w:rPr>
          <w:color w:val="231F20"/>
        </w:rPr>
        <w:t xml:space="preserve"> </w:t>
      </w:r>
      <w:r>
        <w:rPr>
          <w:color w:val="231F20"/>
        </w:rPr>
        <w:t>who</w:t>
      </w:r>
      <w:r w:rsidRPr="00473AA3">
        <w:rPr>
          <w:color w:val="231F20"/>
        </w:rPr>
        <w:t xml:space="preserve"> </w:t>
      </w:r>
      <w:r>
        <w:rPr>
          <w:color w:val="231F20"/>
        </w:rPr>
        <w:t>was</w:t>
      </w:r>
      <w:r w:rsidRPr="00473AA3">
        <w:rPr>
          <w:color w:val="231F20"/>
        </w:rPr>
        <w:t xml:space="preserve"> </w:t>
      </w:r>
      <w:r>
        <w:rPr>
          <w:color w:val="231F20"/>
        </w:rPr>
        <w:t>appointed</w:t>
      </w:r>
      <w:r w:rsidRPr="00473AA3">
        <w:rPr>
          <w:color w:val="231F20"/>
        </w:rPr>
        <w:t xml:space="preserve"> </w:t>
      </w:r>
      <w:r>
        <w:rPr>
          <w:color w:val="231F20"/>
        </w:rPr>
        <w:t>by</w:t>
      </w:r>
      <w:r w:rsidRPr="00473AA3">
        <w:rPr>
          <w:color w:val="231F20"/>
        </w:rPr>
        <w:t xml:space="preserve"> </w:t>
      </w:r>
      <w:r>
        <w:rPr>
          <w:color w:val="231F20"/>
        </w:rPr>
        <w:t>the</w:t>
      </w:r>
      <w:r w:rsidRPr="00473AA3">
        <w:rPr>
          <w:color w:val="231F20"/>
        </w:rPr>
        <w:t xml:space="preserve"> </w:t>
      </w:r>
      <w:r>
        <w:rPr>
          <w:color w:val="231F20"/>
        </w:rPr>
        <w:t>court</w:t>
      </w:r>
      <w:r w:rsidRPr="00473AA3">
        <w:rPr>
          <w:color w:val="231F20"/>
        </w:rPr>
        <w:t xml:space="preserve"> </w:t>
      </w:r>
      <w:r>
        <w:rPr>
          <w:color w:val="231F20"/>
        </w:rPr>
        <w:t>for</w:t>
      </w:r>
      <w:r w:rsidRPr="00473AA3">
        <w:rPr>
          <w:color w:val="231F20"/>
        </w:rPr>
        <w:t xml:space="preserve"> </w:t>
      </w:r>
      <w:r>
        <w:rPr>
          <w:color w:val="231F20"/>
        </w:rPr>
        <w:t>purposes of bringing a wrongful death action lacks standing to bring a survival</w:t>
      </w:r>
      <w:r w:rsidRPr="00473AA3">
        <w:rPr>
          <w:color w:val="231F20"/>
        </w:rPr>
        <w:t xml:space="preserve"> </w:t>
      </w:r>
      <w:r>
        <w:rPr>
          <w:color w:val="231F20"/>
        </w:rPr>
        <w:t>claim.</w:t>
      </w:r>
    </w:p>
    <w:p w14:paraId="1831C38D" w14:textId="77777777" w:rsidR="009910CD" w:rsidRDefault="00FC2690" w:rsidP="009825CC">
      <w:pPr>
        <w:spacing w:before="121"/>
        <w:ind w:left="720"/>
      </w:pPr>
      <w:r>
        <w:rPr>
          <w:color w:val="231F20"/>
        </w:rPr>
        <w:t>2009—</w:t>
      </w:r>
      <w:r>
        <w:rPr>
          <w:i/>
          <w:color w:val="231F20"/>
        </w:rPr>
        <w:t>Johnston Mem. Hosp. v.</w:t>
      </w:r>
      <w:r w:rsidR="00B64C57">
        <w:rPr>
          <w:i/>
          <w:color w:val="231F20"/>
        </w:rPr>
        <w:t xml:space="preserve"> </w:t>
      </w:r>
      <w:r>
        <w:rPr>
          <w:i/>
          <w:color w:val="231F20"/>
        </w:rPr>
        <w:t>Bazemore</w:t>
      </w:r>
      <w:r>
        <w:rPr>
          <w:color w:val="231F20"/>
        </w:rPr>
        <w:t>, 277 Va.</w:t>
      </w:r>
      <w:r w:rsidR="00B64C57">
        <w:rPr>
          <w:color w:val="231F20"/>
        </w:rPr>
        <w:t xml:space="preserve"> </w:t>
      </w:r>
      <w:r>
        <w:rPr>
          <w:color w:val="231F20"/>
        </w:rPr>
        <w:t>308, 672 S.E.2d</w:t>
      </w:r>
      <w:r w:rsidR="00B64C57">
        <w:rPr>
          <w:color w:val="231F20"/>
        </w:rPr>
        <w:t xml:space="preserve"> </w:t>
      </w:r>
      <w:r>
        <w:rPr>
          <w:color w:val="231F20"/>
        </w:rPr>
        <w:t>858.</w:t>
      </w:r>
    </w:p>
    <w:p w14:paraId="4827C3C0" w14:textId="77777777" w:rsidR="009910CD" w:rsidRPr="00473AA3" w:rsidRDefault="00FC2690" w:rsidP="00547312">
      <w:pPr>
        <w:pStyle w:val="BodyText"/>
        <w:spacing w:before="120" w:after="120"/>
        <w:ind w:left="1440"/>
        <w:jc w:val="both"/>
        <w:rPr>
          <w:color w:val="231F20"/>
        </w:rPr>
      </w:pPr>
      <w:r>
        <w:rPr>
          <w:color w:val="231F20"/>
        </w:rPr>
        <w:t>Plaintiff filed complaint alleging wrongful death prior to her qualifying</w:t>
      </w:r>
      <w:r w:rsidRPr="00473AA3">
        <w:rPr>
          <w:color w:val="231F20"/>
        </w:rPr>
        <w:t xml:space="preserve"> </w:t>
      </w:r>
      <w:r>
        <w:rPr>
          <w:color w:val="231F20"/>
        </w:rPr>
        <w:t>as</w:t>
      </w:r>
      <w:r w:rsidRPr="00473AA3">
        <w:rPr>
          <w:color w:val="231F20"/>
        </w:rPr>
        <w:t xml:space="preserve"> </w:t>
      </w:r>
      <w:r>
        <w:rPr>
          <w:color w:val="231F20"/>
        </w:rPr>
        <w:t>personal</w:t>
      </w:r>
      <w:r w:rsidRPr="00473AA3">
        <w:rPr>
          <w:color w:val="231F20"/>
        </w:rPr>
        <w:t xml:space="preserve"> </w:t>
      </w:r>
      <w:r>
        <w:rPr>
          <w:color w:val="231F20"/>
        </w:rPr>
        <w:t>representative.</w:t>
      </w:r>
      <w:r w:rsidRPr="00473AA3">
        <w:rPr>
          <w:color w:val="231F20"/>
        </w:rPr>
        <w:t xml:space="preserve"> </w:t>
      </w:r>
      <w:r>
        <w:rPr>
          <w:color w:val="231F20"/>
        </w:rPr>
        <w:t>Plaintiff</w:t>
      </w:r>
      <w:r w:rsidRPr="00473AA3">
        <w:rPr>
          <w:color w:val="231F20"/>
        </w:rPr>
        <w:t xml:space="preserve"> </w:t>
      </w:r>
      <w:r>
        <w:rPr>
          <w:color w:val="231F20"/>
        </w:rPr>
        <w:t>thereafter</w:t>
      </w:r>
      <w:r w:rsidRPr="00473AA3">
        <w:rPr>
          <w:color w:val="231F20"/>
        </w:rPr>
        <w:t xml:space="preserve"> </w:t>
      </w:r>
      <w:r>
        <w:rPr>
          <w:color w:val="231F20"/>
        </w:rPr>
        <w:t>qualified</w:t>
      </w:r>
      <w:r w:rsidRPr="00473AA3">
        <w:rPr>
          <w:color w:val="231F20"/>
        </w:rPr>
        <w:t xml:space="preserve"> </w:t>
      </w:r>
      <w:r>
        <w:rPr>
          <w:color w:val="231F20"/>
        </w:rPr>
        <w:t>as administrator and then non-suited. Circuit court granted motion to non-suit and denied defendant’s motion to abate the action. The action was a nullity from the beginning since there was no administrator appointed and therefore there was no right to</w:t>
      </w:r>
      <w:r w:rsidRPr="00473AA3">
        <w:rPr>
          <w:color w:val="231F20"/>
        </w:rPr>
        <w:t xml:space="preserve"> </w:t>
      </w:r>
      <w:r>
        <w:rPr>
          <w:color w:val="231F20"/>
        </w:rPr>
        <w:t>non-suit.</w:t>
      </w:r>
    </w:p>
    <w:p w14:paraId="388D7A30"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12.06</w:t>
      </w:r>
      <w:r>
        <w:rPr>
          <w:color w:val="231F20"/>
        </w:rPr>
        <w:tab/>
        <w:t>Survival of</w:t>
      </w:r>
      <w:r w:rsidRPr="00ED1338">
        <w:rPr>
          <w:color w:val="231F20"/>
        </w:rPr>
        <w:t xml:space="preserve"> </w:t>
      </w:r>
      <w:r>
        <w:rPr>
          <w:color w:val="231F20"/>
        </w:rPr>
        <w:t>Actions</w:t>
      </w:r>
    </w:p>
    <w:p w14:paraId="27184184" w14:textId="1460BB7B" w:rsidR="00D014A9" w:rsidRDefault="00D014A9" w:rsidP="00D014A9">
      <w:pPr>
        <w:spacing w:before="126"/>
        <w:ind w:left="720"/>
      </w:pPr>
      <w:r>
        <w:rPr>
          <w:color w:val="231F20"/>
        </w:rPr>
        <w:t>202</w:t>
      </w:r>
      <w:r w:rsidR="00DC48F3">
        <w:rPr>
          <w:color w:val="231F20"/>
        </w:rPr>
        <w:t>3</w:t>
      </w:r>
      <w:r>
        <w:rPr>
          <w:color w:val="231F20"/>
        </w:rPr>
        <w:t>—</w:t>
      </w:r>
      <w:r w:rsidR="00DC48F3">
        <w:rPr>
          <w:i/>
          <w:color w:val="231F20"/>
        </w:rPr>
        <w:t>Clutteur v. Rosier</w:t>
      </w:r>
      <w:r>
        <w:rPr>
          <w:color w:val="231F20"/>
        </w:rPr>
        <w:t xml:space="preserve">, </w:t>
      </w:r>
      <w:r w:rsidR="00DC48F3">
        <w:rPr>
          <w:color w:val="231F20"/>
        </w:rPr>
        <w:t>79</w:t>
      </w:r>
      <w:r>
        <w:rPr>
          <w:color w:val="231F20"/>
        </w:rPr>
        <w:t xml:space="preserve"> Va. </w:t>
      </w:r>
      <w:r w:rsidR="00DC48F3">
        <w:rPr>
          <w:color w:val="231F20"/>
        </w:rPr>
        <w:t>App. 55</w:t>
      </w:r>
      <w:r>
        <w:rPr>
          <w:color w:val="231F20"/>
        </w:rPr>
        <w:t xml:space="preserve">, </w:t>
      </w:r>
      <w:r w:rsidR="00341875">
        <w:rPr>
          <w:color w:val="231F20"/>
        </w:rPr>
        <w:t>8</w:t>
      </w:r>
      <w:r w:rsidR="00DC48F3">
        <w:rPr>
          <w:color w:val="231F20"/>
        </w:rPr>
        <w:t>9</w:t>
      </w:r>
      <w:r w:rsidR="00341875">
        <w:rPr>
          <w:color w:val="231F20"/>
        </w:rPr>
        <w:t>3</w:t>
      </w:r>
      <w:r>
        <w:rPr>
          <w:color w:val="231F20"/>
        </w:rPr>
        <w:t xml:space="preserve"> S.E.2d </w:t>
      </w:r>
      <w:r w:rsidR="00DC48F3">
        <w:rPr>
          <w:color w:val="231F20"/>
        </w:rPr>
        <w:t>424</w:t>
      </w:r>
      <w:r>
        <w:rPr>
          <w:color w:val="231F20"/>
        </w:rPr>
        <w:t>.</w:t>
      </w:r>
    </w:p>
    <w:p w14:paraId="1972A733" w14:textId="7D89ADDB" w:rsidR="00D014A9" w:rsidRDefault="00DC48F3" w:rsidP="00AF062B">
      <w:pPr>
        <w:spacing w:before="126"/>
        <w:ind w:left="1440"/>
        <w:jc w:val="both"/>
        <w:rPr>
          <w:color w:val="231F20"/>
        </w:rPr>
      </w:pPr>
      <w:r>
        <w:rPr>
          <w:color w:val="231F20"/>
        </w:rPr>
        <w:t xml:space="preserve">Auto crash occurred on January 2, 2017. Defendant died on September 17, 2017. First lawsuit filed December 14, 2018. Administrator qualified for defendant on April 16, 2021. Plaintiff took nonsuit on September 26, 2021. Plaintiff had two years from date of filing within which to substitute in the personal representative. The plaintiff did not do so. As a result, the first action became a nullity. </w:t>
      </w:r>
    </w:p>
    <w:p w14:paraId="0B837208" w14:textId="77777777" w:rsidR="009F430B" w:rsidRDefault="009F430B" w:rsidP="00DC48F3">
      <w:pPr>
        <w:spacing w:before="126"/>
        <w:ind w:left="720"/>
        <w:rPr>
          <w:color w:val="231F20"/>
        </w:rPr>
      </w:pPr>
    </w:p>
    <w:p w14:paraId="63A47FA7" w14:textId="783B06DE" w:rsidR="00DC48F3" w:rsidRDefault="00DC48F3" w:rsidP="00DC48F3">
      <w:pPr>
        <w:spacing w:before="126"/>
        <w:ind w:left="720"/>
      </w:pPr>
      <w:r>
        <w:rPr>
          <w:color w:val="231F20"/>
        </w:rPr>
        <w:lastRenderedPageBreak/>
        <w:t>2020—</w:t>
      </w:r>
      <w:r>
        <w:rPr>
          <w:i/>
          <w:color w:val="231F20"/>
        </w:rPr>
        <w:t>Green v. Diagnostic Imaging Associates</w:t>
      </w:r>
      <w:r>
        <w:rPr>
          <w:color w:val="231F20"/>
        </w:rPr>
        <w:t>, 299 Va. 1, 843 S.E.2d 371.</w:t>
      </w:r>
    </w:p>
    <w:p w14:paraId="38C2139E" w14:textId="77777777" w:rsidR="00DC48F3" w:rsidRDefault="00DC48F3" w:rsidP="00DC48F3">
      <w:pPr>
        <w:spacing w:before="126"/>
        <w:ind w:left="1440"/>
        <w:jc w:val="both"/>
        <w:rPr>
          <w:color w:val="231F20"/>
        </w:rPr>
      </w:pPr>
      <w:r>
        <w:rPr>
          <w:color w:val="231F20"/>
        </w:rPr>
        <w:t xml:space="preserve">Husband brought wrongful death action against healthcare providers on behalf of wife.  Allegation was that the death was the result of failure by providers in both Virginia and Kentucky.  Husband settled the personal injury (survival action) in Kentucky against the providers in that state.  That did not bar husband’s wrongful death action in Virginia.  There was no claim-splitting.  The case contains language indicating that both survival action and wrongful death action may not be allowed in Virginia where single incident causes both damages.  </w:t>
      </w:r>
    </w:p>
    <w:p w14:paraId="26954A52" w14:textId="32B65F4C" w:rsidR="009910CD" w:rsidRDefault="00FC2690" w:rsidP="009825CC">
      <w:pPr>
        <w:spacing w:before="126"/>
        <w:ind w:left="720"/>
      </w:pPr>
      <w:r>
        <w:rPr>
          <w:color w:val="231F20"/>
        </w:rPr>
        <w:t>2009—</w:t>
      </w:r>
      <w:r>
        <w:rPr>
          <w:i/>
          <w:color w:val="231F20"/>
        </w:rPr>
        <w:t>Centra Health, Inc. v.</w:t>
      </w:r>
      <w:r w:rsidR="00B64C57">
        <w:rPr>
          <w:i/>
          <w:color w:val="231F20"/>
        </w:rPr>
        <w:t xml:space="preserve"> </w:t>
      </w:r>
      <w:r>
        <w:rPr>
          <w:i/>
          <w:color w:val="231F20"/>
        </w:rPr>
        <w:t>Mullins</w:t>
      </w:r>
      <w:r>
        <w:rPr>
          <w:color w:val="231F20"/>
        </w:rPr>
        <w:t>, 277 Va.</w:t>
      </w:r>
      <w:r w:rsidR="00B64C57">
        <w:rPr>
          <w:color w:val="231F20"/>
        </w:rPr>
        <w:t xml:space="preserve"> </w:t>
      </w:r>
      <w:r>
        <w:rPr>
          <w:color w:val="231F20"/>
        </w:rPr>
        <w:t>59, 670 S.E.2d</w:t>
      </w:r>
      <w:r w:rsidR="00B64C57">
        <w:rPr>
          <w:color w:val="231F20"/>
        </w:rPr>
        <w:t xml:space="preserve"> </w:t>
      </w:r>
      <w:r>
        <w:rPr>
          <w:color w:val="231F20"/>
        </w:rPr>
        <w:t>708.</w:t>
      </w:r>
    </w:p>
    <w:p w14:paraId="4850FF2F" w14:textId="1DFFAB64" w:rsidR="009D6788" w:rsidRDefault="00FC2690" w:rsidP="00547312">
      <w:pPr>
        <w:pStyle w:val="BodyText"/>
        <w:spacing w:before="120" w:after="120"/>
        <w:ind w:left="1440"/>
        <w:jc w:val="both"/>
        <w:rPr>
          <w:color w:val="231F20"/>
        </w:rPr>
      </w:pPr>
      <w:r>
        <w:rPr>
          <w:color w:val="231F20"/>
        </w:rPr>
        <w:t xml:space="preserve">In this medical malpractice action, trial court properly refused to require administrators of estate to elect between wrongful death and survival claim. Election between these remedies is required only at a time when the record is sufficiently established that the personal injuries and the death arose from the same cause. In this case, both claims were submitted to the </w:t>
      </w:r>
      <w:r w:rsidRPr="00473AA3">
        <w:rPr>
          <w:color w:val="231F20"/>
        </w:rPr>
        <w:t xml:space="preserve">jury. </w:t>
      </w:r>
      <w:r>
        <w:rPr>
          <w:color w:val="231F20"/>
        </w:rPr>
        <w:t>Where there is any doubt as to when compelling an election would be proper, bifurcation is the most practical means to assure that each party receives a fair opportunity to present their case to the jury without prejudice to the other.</w:t>
      </w:r>
    </w:p>
    <w:p w14:paraId="745ED22C" w14:textId="77777777" w:rsidR="009D6788" w:rsidRDefault="009D6788">
      <w:pPr>
        <w:rPr>
          <w:color w:val="231F20"/>
        </w:rPr>
      </w:pPr>
      <w:r>
        <w:rPr>
          <w:color w:val="231F20"/>
        </w:rPr>
        <w:br w:type="page"/>
      </w:r>
    </w:p>
    <w:p w14:paraId="665A8E48" w14:textId="77777777" w:rsidR="009910CD" w:rsidRDefault="00FC2690" w:rsidP="006149E6">
      <w:pPr>
        <w:pStyle w:val="Heading1"/>
        <w:ind w:left="0" w:right="0" w:firstLine="0"/>
        <w:jc w:val="center"/>
      </w:pPr>
      <w:r>
        <w:rPr>
          <w:color w:val="231F20"/>
        </w:rPr>
        <w:lastRenderedPageBreak/>
        <w:t>Chapter 13</w:t>
      </w:r>
    </w:p>
    <w:p w14:paraId="3B1142B0" w14:textId="77777777" w:rsidR="009910CD" w:rsidRDefault="00FC2690" w:rsidP="006149E6">
      <w:pPr>
        <w:spacing w:before="158"/>
        <w:jc w:val="center"/>
        <w:rPr>
          <w:b/>
          <w:sz w:val="40"/>
        </w:rPr>
      </w:pPr>
      <w:r>
        <w:rPr>
          <w:b/>
          <w:color w:val="231F20"/>
          <w:sz w:val="40"/>
        </w:rPr>
        <w:t>OTHER MISCELLANEOUS CASES</w:t>
      </w:r>
    </w:p>
    <w:p w14:paraId="21741F3E" w14:textId="77777777" w:rsidR="009F430B" w:rsidRDefault="009F430B" w:rsidP="00ED1338">
      <w:pPr>
        <w:pStyle w:val="Heading4"/>
        <w:tabs>
          <w:tab w:val="left" w:pos="720"/>
        </w:tabs>
        <w:spacing w:before="0" w:line="241" w:lineRule="exact"/>
        <w:ind w:left="0"/>
        <w:rPr>
          <w:color w:val="231F20"/>
        </w:rPr>
      </w:pPr>
    </w:p>
    <w:p w14:paraId="20382E4F" w14:textId="4CBA484A"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13.02</w:t>
      </w:r>
      <w:r>
        <w:rPr>
          <w:color w:val="231F20"/>
        </w:rPr>
        <w:tab/>
        <w:t>Admiralty</w:t>
      </w:r>
    </w:p>
    <w:p w14:paraId="26555468" w14:textId="77777777" w:rsidR="009910CD" w:rsidRDefault="00FC2690" w:rsidP="009825CC">
      <w:pPr>
        <w:spacing w:before="126"/>
        <w:ind w:left="720"/>
      </w:pPr>
      <w:r>
        <w:rPr>
          <w:color w:val="231F20"/>
        </w:rPr>
        <w:t>2012—</w:t>
      </w:r>
      <w:r>
        <w:rPr>
          <w:i/>
          <w:color w:val="231F20"/>
        </w:rPr>
        <w:t>John Crane, Inc. v.</w:t>
      </w:r>
      <w:r w:rsidR="00B64C57">
        <w:rPr>
          <w:i/>
          <w:color w:val="231F20"/>
        </w:rPr>
        <w:t xml:space="preserve"> </w:t>
      </w:r>
      <w:r>
        <w:rPr>
          <w:i/>
          <w:color w:val="231F20"/>
        </w:rPr>
        <w:t>Hardick</w:t>
      </w:r>
      <w:r>
        <w:rPr>
          <w:color w:val="231F20"/>
        </w:rPr>
        <w:t>, 284 Va.</w:t>
      </w:r>
      <w:r w:rsidR="00B64C57">
        <w:rPr>
          <w:color w:val="231F20"/>
        </w:rPr>
        <w:t xml:space="preserve"> </w:t>
      </w:r>
      <w:r>
        <w:rPr>
          <w:color w:val="231F20"/>
        </w:rPr>
        <w:t>329, 732 S.E.2d</w:t>
      </w:r>
      <w:r w:rsidR="00B64C57">
        <w:rPr>
          <w:color w:val="231F20"/>
        </w:rPr>
        <w:t xml:space="preserve"> </w:t>
      </w:r>
      <w:r>
        <w:rPr>
          <w:color w:val="231F20"/>
        </w:rPr>
        <w:t>1.</w:t>
      </w:r>
    </w:p>
    <w:p w14:paraId="3293ED1A" w14:textId="77777777" w:rsidR="009910CD" w:rsidRPr="00473AA3" w:rsidRDefault="00FC2690" w:rsidP="00547312">
      <w:pPr>
        <w:pStyle w:val="BodyText"/>
        <w:spacing w:before="120" w:after="120"/>
        <w:ind w:left="1440"/>
        <w:jc w:val="both"/>
        <w:rPr>
          <w:color w:val="231F20"/>
        </w:rPr>
      </w:pPr>
      <w:r>
        <w:rPr>
          <w:color w:val="231F20"/>
        </w:rPr>
        <w:t>The jury’s $2,000,000.00 award of damages for deceden</w:t>
      </w:r>
      <w:r w:rsidR="00103F1A">
        <w:rPr>
          <w:color w:val="231F20"/>
        </w:rPr>
        <w:t>t’s pre-</w:t>
      </w:r>
      <w:r>
        <w:rPr>
          <w:color w:val="231F20"/>
        </w:rPr>
        <w:t>death pain and suffering is</w:t>
      </w:r>
      <w:r w:rsidR="00B64C57">
        <w:rPr>
          <w:color w:val="231F20"/>
        </w:rPr>
        <w:t xml:space="preserve"> </w:t>
      </w:r>
      <w:r>
        <w:rPr>
          <w:color w:val="231F20"/>
        </w:rPr>
        <w:t>reinstated.</w:t>
      </w:r>
    </w:p>
    <w:p w14:paraId="6FFBD7AF" w14:textId="77777777" w:rsidR="009910CD" w:rsidRDefault="00FC2690" w:rsidP="009825CC">
      <w:pPr>
        <w:spacing w:before="119"/>
        <w:ind w:left="720"/>
      </w:pPr>
      <w:r>
        <w:rPr>
          <w:color w:val="231F20"/>
        </w:rPr>
        <w:t>2012—</w:t>
      </w:r>
      <w:r>
        <w:rPr>
          <w:i/>
          <w:color w:val="231F20"/>
        </w:rPr>
        <w:t>John Crane, Inc. v.</w:t>
      </w:r>
      <w:r w:rsidR="00B64C57">
        <w:rPr>
          <w:i/>
          <w:color w:val="231F20"/>
        </w:rPr>
        <w:t xml:space="preserve"> </w:t>
      </w:r>
      <w:r>
        <w:rPr>
          <w:i/>
          <w:color w:val="231F20"/>
        </w:rPr>
        <w:t>Hardick</w:t>
      </w:r>
      <w:r>
        <w:rPr>
          <w:color w:val="231F20"/>
        </w:rPr>
        <w:t>, 283 Va.</w:t>
      </w:r>
      <w:r w:rsidR="00B64C57">
        <w:rPr>
          <w:color w:val="231F20"/>
        </w:rPr>
        <w:t xml:space="preserve"> </w:t>
      </w:r>
      <w:r>
        <w:rPr>
          <w:color w:val="231F20"/>
        </w:rPr>
        <w:t>358, 722 S.E.2d</w:t>
      </w:r>
      <w:r w:rsidR="00B64C57">
        <w:rPr>
          <w:color w:val="231F20"/>
        </w:rPr>
        <w:t xml:space="preserve"> </w:t>
      </w:r>
      <w:r>
        <w:rPr>
          <w:color w:val="231F20"/>
        </w:rPr>
        <w:t>610.</w:t>
      </w:r>
    </w:p>
    <w:p w14:paraId="2B8E3B3A" w14:textId="0246C489" w:rsidR="009910CD" w:rsidRPr="00473AA3" w:rsidRDefault="00FC2690" w:rsidP="00547312">
      <w:pPr>
        <w:pStyle w:val="BodyText"/>
        <w:spacing w:before="120" w:after="120"/>
        <w:ind w:left="1440"/>
        <w:jc w:val="both"/>
        <w:rPr>
          <w:color w:val="231F20"/>
        </w:rPr>
      </w:pPr>
      <w:r>
        <w:rPr>
          <w:color w:val="231F20"/>
        </w:rPr>
        <w:t>Uniform rule exists for cases involving wrongful death of a seaman in that non</w:t>
      </w:r>
      <w:r w:rsidR="00CB6184">
        <w:rPr>
          <w:color w:val="231F20"/>
        </w:rPr>
        <w:t>-</w:t>
      </w:r>
      <w:r>
        <w:rPr>
          <w:color w:val="231F20"/>
        </w:rPr>
        <w:t>pecuniary damages are not</w:t>
      </w:r>
      <w:r w:rsidR="00B64C57">
        <w:rPr>
          <w:color w:val="231F20"/>
        </w:rPr>
        <w:t xml:space="preserve"> </w:t>
      </w:r>
      <w:r>
        <w:rPr>
          <w:color w:val="231F20"/>
        </w:rPr>
        <w:t>available.</w:t>
      </w:r>
    </w:p>
    <w:p w14:paraId="79248CE0" w14:textId="7CF9DA32" w:rsidR="00E7305A" w:rsidRPr="00ED1338" w:rsidRDefault="00E7305A" w:rsidP="00E7305A">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13.05</w:t>
      </w:r>
      <w:r>
        <w:rPr>
          <w:color w:val="231F20"/>
        </w:rPr>
        <w:tab/>
        <w:t>Animals</w:t>
      </w:r>
    </w:p>
    <w:p w14:paraId="0A3D6710" w14:textId="2F3FCF87" w:rsidR="00E7305A" w:rsidRDefault="00E7305A" w:rsidP="00E7305A">
      <w:pPr>
        <w:spacing w:before="126"/>
        <w:ind w:left="720"/>
      </w:pPr>
      <w:r>
        <w:rPr>
          <w:color w:val="231F20"/>
        </w:rPr>
        <w:t>2023—</w:t>
      </w:r>
      <w:r>
        <w:rPr>
          <w:i/>
          <w:color w:val="231F20"/>
        </w:rPr>
        <w:t>Blue Pearl Veterinary Partners, LLC et al. v. Anderson</w:t>
      </w:r>
      <w:r>
        <w:rPr>
          <w:color w:val="231F20"/>
        </w:rPr>
        <w:t>, 78 Va. App. 40, 888 S.E.2d 783.</w:t>
      </w:r>
    </w:p>
    <w:p w14:paraId="70A783B0" w14:textId="3EEAEEE6" w:rsidR="00E7305A" w:rsidRPr="00473AA3" w:rsidRDefault="00E7305A" w:rsidP="00E7305A">
      <w:pPr>
        <w:pStyle w:val="BodyText"/>
        <w:spacing w:before="120" w:after="120"/>
        <w:ind w:left="1440"/>
        <w:jc w:val="both"/>
        <w:rPr>
          <w:color w:val="231F20"/>
        </w:rPr>
      </w:pPr>
      <w:r>
        <w:rPr>
          <w:color w:val="231F20"/>
        </w:rPr>
        <w:t xml:space="preserve">Suit against veterinarian for injury to dog. Recoverable damages include veterinary expenses that exceed the diminution in the dog’s value. The damages may not include emotional damages to the owner. Where an item has a special value to an owner such as a family portrait, the ordinary methods for determining damages may not apply. </w:t>
      </w:r>
    </w:p>
    <w:p w14:paraId="0A82F438"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13.27</w:t>
      </w:r>
      <w:r>
        <w:rPr>
          <w:color w:val="231F20"/>
        </w:rPr>
        <w:tab/>
        <w:t>Drowning</w:t>
      </w:r>
    </w:p>
    <w:p w14:paraId="5CDFBB25" w14:textId="77777777" w:rsidR="009910CD" w:rsidRDefault="00FC2690" w:rsidP="009825CC">
      <w:pPr>
        <w:spacing w:before="125"/>
        <w:ind w:left="720"/>
      </w:pPr>
      <w:r>
        <w:rPr>
          <w:color w:val="231F20"/>
        </w:rPr>
        <w:t>2011—</w:t>
      </w:r>
      <w:r>
        <w:rPr>
          <w:i/>
          <w:color w:val="231F20"/>
        </w:rPr>
        <w:t>Volpe v.</w:t>
      </w:r>
      <w:r w:rsidR="00B64C57">
        <w:rPr>
          <w:i/>
          <w:color w:val="231F20"/>
        </w:rPr>
        <w:t xml:space="preserve"> </w:t>
      </w:r>
      <w:r>
        <w:rPr>
          <w:i/>
          <w:color w:val="231F20"/>
        </w:rPr>
        <w:t>City of Lexington</w:t>
      </w:r>
      <w:r>
        <w:rPr>
          <w:color w:val="231F20"/>
        </w:rPr>
        <w:t>, 281 Va.</w:t>
      </w:r>
      <w:r w:rsidR="00B64C57">
        <w:rPr>
          <w:color w:val="231F20"/>
        </w:rPr>
        <w:t xml:space="preserve"> </w:t>
      </w:r>
      <w:r>
        <w:rPr>
          <w:color w:val="231F20"/>
        </w:rPr>
        <w:t>630, 708 S.E.2d</w:t>
      </w:r>
      <w:r w:rsidR="00B64C57">
        <w:rPr>
          <w:color w:val="231F20"/>
        </w:rPr>
        <w:t xml:space="preserve"> </w:t>
      </w:r>
      <w:r>
        <w:rPr>
          <w:color w:val="231F20"/>
        </w:rPr>
        <w:t>824.</w:t>
      </w:r>
    </w:p>
    <w:p w14:paraId="0E1B5A21" w14:textId="77777777" w:rsidR="009910CD" w:rsidRPr="00473AA3" w:rsidRDefault="00FC2690" w:rsidP="00547312">
      <w:pPr>
        <w:pStyle w:val="BodyText"/>
        <w:spacing w:before="120" w:after="120"/>
        <w:ind w:left="1440"/>
        <w:jc w:val="both"/>
        <w:rPr>
          <w:color w:val="231F20"/>
        </w:rPr>
      </w:pPr>
      <w:r>
        <w:rPr>
          <w:color w:val="231F20"/>
        </w:rPr>
        <w:t xml:space="preserve">Child drowned in river that was designated as a city park designed for swimming. Trial </w:t>
      </w:r>
      <w:r w:rsidR="00AE3B68">
        <w:rPr>
          <w:color w:val="231F20"/>
        </w:rPr>
        <w:t>c</w:t>
      </w:r>
      <w:r>
        <w:rPr>
          <w:color w:val="231F20"/>
        </w:rPr>
        <w:t>ourt incorrectly held that dangerous current was open and obvious condition. A</w:t>
      </w:r>
      <w:r w:rsidR="00103F1A">
        <w:rPr>
          <w:color w:val="231F20"/>
        </w:rPr>
        <w:t>lthough the potential dangerous</w:t>
      </w:r>
      <w:r>
        <w:rPr>
          <w:color w:val="231F20"/>
        </w:rPr>
        <w:t>ness of the water itself may have been open and obvious, what was not open and obvious was the dangerous current which created a hydraulic</w:t>
      </w:r>
      <w:r w:rsidRPr="00473AA3">
        <w:rPr>
          <w:color w:val="231F20"/>
        </w:rPr>
        <w:t xml:space="preserve"> </w:t>
      </w:r>
      <w:r>
        <w:rPr>
          <w:color w:val="231F20"/>
        </w:rPr>
        <w:t>beneath</w:t>
      </w:r>
      <w:r w:rsidRPr="00473AA3">
        <w:rPr>
          <w:color w:val="231F20"/>
        </w:rPr>
        <w:t xml:space="preserve"> </w:t>
      </w:r>
      <w:r>
        <w:rPr>
          <w:color w:val="231F20"/>
        </w:rPr>
        <w:t>the</w:t>
      </w:r>
      <w:r w:rsidRPr="00473AA3">
        <w:rPr>
          <w:color w:val="231F20"/>
        </w:rPr>
        <w:t xml:space="preserve"> </w:t>
      </w:r>
      <w:r>
        <w:rPr>
          <w:color w:val="231F20"/>
        </w:rPr>
        <w:t>water</w:t>
      </w:r>
      <w:r w:rsidRPr="00473AA3">
        <w:rPr>
          <w:color w:val="231F20"/>
        </w:rPr>
        <w:t xml:space="preserve"> </w:t>
      </w:r>
      <w:r>
        <w:rPr>
          <w:color w:val="231F20"/>
        </w:rPr>
        <w:t>surface.</w:t>
      </w:r>
      <w:r w:rsidRPr="00473AA3">
        <w:rPr>
          <w:color w:val="231F20"/>
        </w:rPr>
        <w:t xml:space="preserve"> </w:t>
      </w:r>
      <w:r>
        <w:rPr>
          <w:color w:val="231F20"/>
        </w:rPr>
        <w:t>Jury</w:t>
      </w:r>
      <w:r w:rsidRPr="00473AA3">
        <w:rPr>
          <w:color w:val="231F20"/>
        </w:rPr>
        <w:t xml:space="preserve"> </w:t>
      </w:r>
      <w:r>
        <w:rPr>
          <w:color w:val="231F20"/>
        </w:rPr>
        <w:t>issue</w:t>
      </w:r>
      <w:r w:rsidRPr="00473AA3">
        <w:rPr>
          <w:color w:val="231F20"/>
        </w:rPr>
        <w:t xml:space="preserve"> </w:t>
      </w:r>
      <w:r>
        <w:rPr>
          <w:color w:val="231F20"/>
        </w:rPr>
        <w:t>likewise</w:t>
      </w:r>
      <w:r w:rsidRPr="00473AA3">
        <w:rPr>
          <w:color w:val="231F20"/>
        </w:rPr>
        <w:t xml:space="preserve"> </w:t>
      </w:r>
      <w:r>
        <w:rPr>
          <w:color w:val="231F20"/>
        </w:rPr>
        <w:t>created</w:t>
      </w:r>
      <w:r w:rsidRPr="00473AA3">
        <w:rPr>
          <w:color w:val="231F20"/>
        </w:rPr>
        <w:t xml:space="preserve"> </w:t>
      </w:r>
      <w:r>
        <w:rPr>
          <w:color w:val="231F20"/>
        </w:rPr>
        <w:t>as</w:t>
      </w:r>
      <w:r w:rsidRPr="00473AA3">
        <w:rPr>
          <w:color w:val="231F20"/>
        </w:rPr>
        <w:t xml:space="preserve"> </w:t>
      </w:r>
      <w:r>
        <w:rPr>
          <w:color w:val="231F20"/>
        </w:rPr>
        <w:t>to whether or not this condition constituted a form of recklessness or total disregard of precautions amounting to gross negligence on the part</w:t>
      </w:r>
      <w:r w:rsidRPr="00473AA3">
        <w:rPr>
          <w:color w:val="231F20"/>
        </w:rPr>
        <w:t xml:space="preserve"> </w:t>
      </w:r>
      <w:r>
        <w:rPr>
          <w:color w:val="231F20"/>
        </w:rPr>
        <w:t>of</w:t>
      </w:r>
      <w:r w:rsidRPr="00473AA3">
        <w:rPr>
          <w:color w:val="231F20"/>
        </w:rPr>
        <w:t xml:space="preserve"> </w:t>
      </w:r>
      <w:r>
        <w:rPr>
          <w:color w:val="231F20"/>
        </w:rPr>
        <w:t>the</w:t>
      </w:r>
      <w:r w:rsidRPr="00473AA3">
        <w:rPr>
          <w:color w:val="231F20"/>
        </w:rPr>
        <w:t xml:space="preserve"> City. </w:t>
      </w:r>
      <w:r>
        <w:rPr>
          <w:color w:val="231F20"/>
        </w:rPr>
        <w:t>As</w:t>
      </w:r>
      <w:r w:rsidRPr="00473AA3">
        <w:rPr>
          <w:color w:val="231F20"/>
        </w:rPr>
        <w:t xml:space="preserve"> </w:t>
      </w:r>
      <w:r>
        <w:rPr>
          <w:color w:val="231F20"/>
        </w:rPr>
        <w:t>a</w:t>
      </w:r>
      <w:r w:rsidRPr="00473AA3">
        <w:rPr>
          <w:color w:val="231F20"/>
        </w:rPr>
        <w:t xml:space="preserve"> </w:t>
      </w:r>
      <w:r>
        <w:rPr>
          <w:color w:val="231F20"/>
        </w:rPr>
        <w:t>matter</w:t>
      </w:r>
      <w:r w:rsidRPr="00473AA3">
        <w:rPr>
          <w:color w:val="231F20"/>
        </w:rPr>
        <w:t xml:space="preserve"> </w:t>
      </w:r>
      <w:r>
        <w:rPr>
          <w:color w:val="231F20"/>
        </w:rPr>
        <w:t>of</w:t>
      </w:r>
      <w:r w:rsidRPr="00473AA3">
        <w:rPr>
          <w:color w:val="231F20"/>
        </w:rPr>
        <w:t xml:space="preserve"> law, </w:t>
      </w:r>
      <w:r>
        <w:rPr>
          <w:color w:val="231F20"/>
        </w:rPr>
        <w:t>however,</w:t>
      </w:r>
      <w:r w:rsidRPr="00473AA3">
        <w:rPr>
          <w:color w:val="231F20"/>
        </w:rPr>
        <w:t xml:space="preserve"> </w:t>
      </w:r>
      <w:r>
        <w:rPr>
          <w:color w:val="231F20"/>
        </w:rPr>
        <w:t>this</w:t>
      </w:r>
      <w:r w:rsidRPr="00473AA3">
        <w:rPr>
          <w:color w:val="231F20"/>
        </w:rPr>
        <w:t xml:space="preserve"> </w:t>
      </w:r>
      <w:r>
        <w:rPr>
          <w:color w:val="231F20"/>
        </w:rPr>
        <w:t>conduct</w:t>
      </w:r>
      <w:r w:rsidRPr="00473AA3">
        <w:rPr>
          <w:color w:val="231F20"/>
        </w:rPr>
        <w:t xml:space="preserve"> </w:t>
      </w:r>
      <w:r>
        <w:rPr>
          <w:color w:val="231F20"/>
        </w:rPr>
        <w:t>on</w:t>
      </w:r>
      <w:r w:rsidRPr="00473AA3">
        <w:rPr>
          <w:color w:val="231F20"/>
        </w:rPr>
        <w:t xml:space="preserve"> </w:t>
      </w:r>
      <w:r>
        <w:rPr>
          <w:color w:val="231F20"/>
        </w:rPr>
        <w:t>the</w:t>
      </w:r>
      <w:r w:rsidRPr="00473AA3">
        <w:rPr>
          <w:color w:val="231F20"/>
        </w:rPr>
        <w:t xml:space="preserve"> </w:t>
      </w:r>
      <w:r>
        <w:rPr>
          <w:color w:val="231F20"/>
        </w:rPr>
        <w:t>part of</w:t>
      </w:r>
      <w:r w:rsidRPr="00473AA3">
        <w:rPr>
          <w:color w:val="231F20"/>
        </w:rPr>
        <w:t xml:space="preserve"> </w:t>
      </w:r>
      <w:r>
        <w:rPr>
          <w:color w:val="231F20"/>
        </w:rPr>
        <w:t>the</w:t>
      </w:r>
      <w:r w:rsidRPr="00473AA3">
        <w:rPr>
          <w:color w:val="231F20"/>
        </w:rPr>
        <w:t xml:space="preserve"> </w:t>
      </w:r>
      <w:r>
        <w:rPr>
          <w:color w:val="231F20"/>
        </w:rPr>
        <w:t>City</w:t>
      </w:r>
      <w:r w:rsidRPr="00473AA3">
        <w:rPr>
          <w:color w:val="231F20"/>
        </w:rPr>
        <w:t xml:space="preserve"> </w:t>
      </w:r>
      <w:r>
        <w:rPr>
          <w:color w:val="231F20"/>
        </w:rPr>
        <w:t>did</w:t>
      </w:r>
      <w:r w:rsidRPr="00473AA3">
        <w:rPr>
          <w:color w:val="231F20"/>
        </w:rPr>
        <w:t xml:space="preserve"> </w:t>
      </w:r>
      <w:r>
        <w:rPr>
          <w:color w:val="231F20"/>
        </w:rPr>
        <w:t>not</w:t>
      </w:r>
      <w:r w:rsidRPr="00473AA3">
        <w:rPr>
          <w:color w:val="231F20"/>
        </w:rPr>
        <w:t xml:space="preserve"> </w:t>
      </w:r>
      <w:r>
        <w:rPr>
          <w:color w:val="231F20"/>
        </w:rPr>
        <w:t>rise</w:t>
      </w:r>
      <w:r w:rsidRPr="00473AA3">
        <w:rPr>
          <w:color w:val="231F20"/>
        </w:rPr>
        <w:t xml:space="preserve"> </w:t>
      </w:r>
      <w:r>
        <w:rPr>
          <w:color w:val="231F20"/>
        </w:rPr>
        <w:t>to</w:t>
      </w:r>
      <w:r w:rsidRPr="00473AA3">
        <w:rPr>
          <w:color w:val="231F20"/>
        </w:rPr>
        <w:t xml:space="preserve"> </w:t>
      </w:r>
      <w:r>
        <w:rPr>
          <w:color w:val="231F20"/>
        </w:rPr>
        <w:t>the</w:t>
      </w:r>
      <w:r w:rsidRPr="00473AA3">
        <w:rPr>
          <w:color w:val="231F20"/>
        </w:rPr>
        <w:t xml:space="preserve"> </w:t>
      </w:r>
      <w:r>
        <w:rPr>
          <w:color w:val="231F20"/>
        </w:rPr>
        <w:t>level</w:t>
      </w:r>
      <w:r w:rsidRPr="00473AA3">
        <w:rPr>
          <w:color w:val="231F20"/>
        </w:rPr>
        <w:t xml:space="preserve"> </w:t>
      </w:r>
      <w:r>
        <w:rPr>
          <w:color w:val="231F20"/>
        </w:rPr>
        <w:t>of</w:t>
      </w:r>
      <w:r w:rsidRPr="00473AA3">
        <w:rPr>
          <w:color w:val="231F20"/>
        </w:rPr>
        <w:t xml:space="preserve"> </w:t>
      </w:r>
      <w:r>
        <w:rPr>
          <w:color w:val="231F20"/>
        </w:rPr>
        <w:t>willful</w:t>
      </w:r>
      <w:r w:rsidRPr="00473AA3">
        <w:rPr>
          <w:color w:val="231F20"/>
        </w:rPr>
        <w:t xml:space="preserve"> </w:t>
      </w:r>
      <w:r>
        <w:rPr>
          <w:color w:val="231F20"/>
        </w:rPr>
        <w:t>and</w:t>
      </w:r>
      <w:r w:rsidRPr="00473AA3">
        <w:rPr>
          <w:color w:val="231F20"/>
        </w:rPr>
        <w:t xml:space="preserve"> </w:t>
      </w:r>
      <w:r>
        <w:rPr>
          <w:color w:val="231F20"/>
        </w:rPr>
        <w:t>wanton</w:t>
      </w:r>
      <w:r w:rsidRPr="00473AA3">
        <w:rPr>
          <w:color w:val="231F20"/>
        </w:rPr>
        <w:t xml:space="preserve"> </w:t>
      </w:r>
      <w:r>
        <w:rPr>
          <w:color w:val="231F20"/>
        </w:rPr>
        <w:t>negligence.</w:t>
      </w:r>
    </w:p>
    <w:p w14:paraId="4A5D55BE" w14:textId="77777777" w:rsidR="005310BA" w:rsidRPr="00ED1338" w:rsidRDefault="005310BA"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13.32</w:t>
      </w:r>
      <w:r>
        <w:rPr>
          <w:color w:val="231F20"/>
        </w:rPr>
        <w:tab/>
        <w:t>Federal Employers Liability Act (FELA)</w:t>
      </w:r>
    </w:p>
    <w:p w14:paraId="4BF6D7FC" w14:textId="52808216" w:rsidR="00E91E96" w:rsidRDefault="00E91E96" w:rsidP="00E91E96">
      <w:pPr>
        <w:spacing w:before="131" w:line="240" w:lineRule="exact"/>
        <w:ind w:left="720" w:right="821"/>
      </w:pPr>
      <w:r>
        <w:rPr>
          <w:color w:val="231F20"/>
        </w:rPr>
        <w:t>2019—</w:t>
      </w:r>
      <w:r>
        <w:rPr>
          <w:i/>
          <w:color w:val="231F20"/>
        </w:rPr>
        <w:t>Norfolk Southern Railway Co. v. Sumner</w:t>
      </w:r>
      <w:r>
        <w:rPr>
          <w:color w:val="231F20"/>
        </w:rPr>
        <w:t>, 297 Va. 35, 822 S.E.2d 809.</w:t>
      </w:r>
    </w:p>
    <w:p w14:paraId="103492F7" w14:textId="38DC823B" w:rsidR="00E91E96" w:rsidRDefault="0019070D" w:rsidP="00343A15">
      <w:pPr>
        <w:spacing w:before="136"/>
        <w:ind w:left="1440"/>
        <w:jc w:val="both"/>
        <w:rPr>
          <w:color w:val="231F20"/>
        </w:rPr>
      </w:pPr>
      <w:r>
        <w:rPr>
          <w:color w:val="231F20"/>
        </w:rPr>
        <w:t xml:space="preserve">The issue of causation is treated more leniently in FELA cases than it is in common law tort actions.  The plaintiff need only show that the employer’s negligence played some part, even the slightest, in producing the injury.  </w:t>
      </w:r>
    </w:p>
    <w:p w14:paraId="79AF24E0" w14:textId="65BC9F35" w:rsidR="005310BA" w:rsidRDefault="005310BA" w:rsidP="009825CC">
      <w:pPr>
        <w:spacing w:before="136"/>
        <w:ind w:left="720"/>
      </w:pPr>
      <w:r>
        <w:rPr>
          <w:color w:val="231F20"/>
        </w:rPr>
        <w:t>2017—</w:t>
      </w:r>
      <w:r>
        <w:rPr>
          <w:i/>
          <w:color w:val="231F20"/>
        </w:rPr>
        <w:t>Cole v. Norfolk Southern Railway Company</w:t>
      </w:r>
      <w:r>
        <w:rPr>
          <w:color w:val="231F20"/>
        </w:rPr>
        <w:t>, 294 Va. 92, 803 S.E.2d 346.</w:t>
      </w:r>
    </w:p>
    <w:p w14:paraId="4F2690D2" w14:textId="77777777" w:rsidR="005310BA" w:rsidRPr="00473AA3" w:rsidRDefault="00323A76" w:rsidP="00343A15">
      <w:pPr>
        <w:pStyle w:val="BodyText"/>
        <w:spacing w:before="120" w:after="120"/>
        <w:ind w:left="1440"/>
        <w:jc w:val="both"/>
        <w:rPr>
          <w:color w:val="231F20"/>
        </w:rPr>
      </w:pPr>
      <w:r>
        <w:rPr>
          <w:color w:val="231F20"/>
        </w:rPr>
        <w:t>Court determined that a prior release of liability was effective under FELA as to pending claim.</w:t>
      </w:r>
    </w:p>
    <w:p w14:paraId="158EB46A"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13.48</w:t>
      </w:r>
      <w:r>
        <w:rPr>
          <w:color w:val="231F20"/>
        </w:rPr>
        <w:tab/>
        <w:t>Jones</w:t>
      </w:r>
      <w:r w:rsidRPr="00ED1338">
        <w:rPr>
          <w:color w:val="231F20"/>
        </w:rPr>
        <w:t xml:space="preserve"> </w:t>
      </w:r>
      <w:r>
        <w:rPr>
          <w:color w:val="231F20"/>
        </w:rPr>
        <w:t>Act</w:t>
      </w:r>
    </w:p>
    <w:p w14:paraId="1EABFE1B" w14:textId="77777777" w:rsidR="009910CD" w:rsidRDefault="00FC2690" w:rsidP="009825CC">
      <w:pPr>
        <w:spacing w:before="136"/>
        <w:ind w:left="720"/>
      </w:pPr>
      <w:r>
        <w:rPr>
          <w:color w:val="231F20"/>
        </w:rPr>
        <w:t>2012—</w:t>
      </w:r>
      <w:r>
        <w:rPr>
          <w:i/>
          <w:color w:val="231F20"/>
        </w:rPr>
        <w:t>Omega Protein, Inc. v.</w:t>
      </w:r>
      <w:r w:rsidR="00B64C57">
        <w:rPr>
          <w:i/>
          <w:color w:val="231F20"/>
        </w:rPr>
        <w:t xml:space="preserve"> </w:t>
      </w:r>
      <w:r>
        <w:rPr>
          <w:i/>
          <w:color w:val="231F20"/>
        </w:rPr>
        <w:t>Forrest</w:t>
      </w:r>
      <w:r>
        <w:rPr>
          <w:color w:val="231F20"/>
        </w:rPr>
        <w:t>, 284 Va.</w:t>
      </w:r>
      <w:r w:rsidR="00B64C57">
        <w:rPr>
          <w:color w:val="231F20"/>
        </w:rPr>
        <w:t xml:space="preserve"> </w:t>
      </w:r>
      <w:r>
        <w:rPr>
          <w:color w:val="231F20"/>
        </w:rPr>
        <w:t>432, 732 S.E.2d</w:t>
      </w:r>
      <w:r w:rsidR="00B64C57">
        <w:rPr>
          <w:color w:val="231F20"/>
        </w:rPr>
        <w:t xml:space="preserve"> </w:t>
      </w:r>
      <w:r>
        <w:rPr>
          <w:color w:val="231F20"/>
        </w:rPr>
        <w:t>708.</w:t>
      </w:r>
    </w:p>
    <w:p w14:paraId="4740231B" w14:textId="77777777" w:rsidR="009910CD" w:rsidRPr="00473AA3" w:rsidRDefault="00FC2690" w:rsidP="00343A15">
      <w:pPr>
        <w:pStyle w:val="BodyText"/>
        <w:spacing w:before="120" w:after="120"/>
        <w:ind w:left="1440"/>
        <w:jc w:val="both"/>
        <w:rPr>
          <w:color w:val="231F20"/>
        </w:rPr>
      </w:pPr>
      <w:r>
        <w:rPr>
          <w:color w:val="231F20"/>
        </w:rPr>
        <w:t xml:space="preserve">In seaman’s action for personal </w:t>
      </w:r>
      <w:r w:rsidRPr="00473AA3">
        <w:rPr>
          <w:color w:val="231F20"/>
        </w:rPr>
        <w:t xml:space="preserve">injury, </w:t>
      </w:r>
      <w:r>
        <w:rPr>
          <w:color w:val="231F20"/>
        </w:rPr>
        <w:t>plaintiff failed to present adequate evidence that injury was caused by the employer’s alleged negligence. The fact that employer rehired plaintiff without having him undergo an MRI does not mean that employer caused him to suffer</w:t>
      </w:r>
      <w:r w:rsidRPr="00473AA3">
        <w:rPr>
          <w:color w:val="231F20"/>
        </w:rPr>
        <w:t xml:space="preserve"> </w:t>
      </w:r>
      <w:r>
        <w:rPr>
          <w:color w:val="231F20"/>
        </w:rPr>
        <w:t>injury</w:t>
      </w:r>
      <w:r w:rsidRPr="00473AA3">
        <w:rPr>
          <w:color w:val="231F20"/>
        </w:rPr>
        <w:t xml:space="preserve"> </w:t>
      </w:r>
      <w:r>
        <w:rPr>
          <w:color w:val="231F20"/>
        </w:rPr>
        <w:t>where</w:t>
      </w:r>
      <w:r w:rsidRPr="00473AA3">
        <w:rPr>
          <w:color w:val="231F20"/>
        </w:rPr>
        <w:t xml:space="preserve"> </w:t>
      </w:r>
      <w:r>
        <w:rPr>
          <w:color w:val="231F20"/>
        </w:rPr>
        <w:t>no</w:t>
      </w:r>
      <w:r w:rsidRPr="00473AA3">
        <w:rPr>
          <w:color w:val="231F20"/>
        </w:rPr>
        <w:t xml:space="preserve"> </w:t>
      </w:r>
      <w:r>
        <w:rPr>
          <w:color w:val="231F20"/>
        </w:rPr>
        <w:t>evidence</w:t>
      </w:r>
      <w:r w:rsidRPr="00473AA3">
        <w:rPr>
          <w:color w:val="231F20"/>
        </w:rPr>
        <w:t xml:space="preserve"> </w:t>
      </w:r>
      <w:r>
        <w:rPr>
          <w:color w:val="231F20"/>
        </w:rPr>
        <w:t>was</w:t>
      </w:r>
      <w:r w:rsidRPr="00473AA3">
        <w:rPr>
          <w:color w:val="231F20"/>
        </w:rPr>
        <w:t xml:space="preserve"> </w:t>
      </w:r>
      <w:r>
        <w:rPr>
          <w:color w:val="231F20"/>
        </w:rPr>
        <w:t>presented</w:t>
      </w:r>
      <w:r w:rsidRPr="00473AA3">
        <w:rPr>
          <w:color w:val="231F20"/>
        </w:rPr>
        <w:t xml:space="preserve"> </w:t>
      </w:r>
      <w:r>
        <w:rPr>
          <w:color w:val="231F20"/>
        </w:rPr>
        <w:t>that</w:t>
      </w:r>
      <w:r w:rsidRPr="00473AA3">
        <w:rPr>
          <w:color w:val="231F20"/>
        </w:rPr>
        <w:t xml:space="preserve"> </w:t>
      </w:r>
      <w:r>
        <w:rPr>
          <w:color w:val="231F20"/>
        </w:rPr>
        <w:t>MRI</w:t>
      </w:r>
      <w:r w:rsidRPr="00473AA3">
        <w:rPr>
          <w:color w:val="231F20"/>
        </w:rPr>
        <w:t xml:space="preserve"> </w:t>
      </w:r>
      <w:r>
        <w:rPr>
          <w:color w:val="231F20"/>
        </w:rPr>
        <w:t>would</w:t>
      </w:r>
      <w:r w:rsidRPr="00473AA3">
        <w:rPr>
          <w:color w:val="231F20"/>
        </w:rPr>
        <w:t xml:space="preserve"> </w:t>
      </w:r>
      <w:r>
        <w:rPr>
          <w:color w:val="231F20"/>
        </w:rPr>
        <w:t>have indicated he was unfit for the</w:t>
      </w:r>
      <w:r w:rsidR="00B64C57">
        <w:rPr>
          <w:color w:val="231F20"/>
        </w:rPr>
        <w:t xml:space="preserve"> </w:t>
      </w:r>
      <w:r>
        <w:rPr>
          <w:color w:val="231F20"/>
        </w:rPr>
        <w:t>job.</w:t>
      </w:r>
    </w:p>
    <w:p w14:paraId="028F9FB9" w14:textId="77777777" w:rsidR="009910CD" w:rsidRPr="00ED1338" w:rsidRDefault="00FC2690" w:rsidP="00ED1338">
      <w:pPr>
        <w:pStyle w:val="Heading4"/>
        <w:tabs>
          <w:tab w:val="left" w:pos="720"/>
        </w:tabs>
        <w:spacing w:before="0" w:line="241" w:lineRule="exact"/>
        <w:ind w:left="0"/>
        <w:rPr>
          <w:color w:val="231F20"/>
        </w:rPr>
      </w:pPr>
      <w:r>
        <w:rPr>
          <w:color w:val="231F20"/>
        </w:rPr>
        <w:lastRenderedPageBreak/>
        <w:t>§</w:t>
      </w:r>
      <w:r w:rsidRPr="00ED1338">
        <w:rPr>
          <w:color w:val="231F20"/>
        </w:rPr>
        <w:t xml:space="preserve"> </w:t>
      </w:r>
      <w:r>
        <w:rPr>
          <w:color w:val="231F20"/>
        </w:rPr>
        <w:t>13.69</w:t>
      </w:r>
      <w:r>
        <w:rPr>
          <w:color w:val="231F20"/>
        </w:rPr>
        <w:tab/>
        <w:t>Skating</w:t>
      </w:r>
      <w:r w:rsidRPr="00ED1338">
        <w:rPr>
          <w:color w:val="231F20"/>
        </w:rPr>
        <w:t xml:space="preserve"> </w:t>
      </w:r>
      <w:r>
        <w:rPr>
          <w:color w:val="231F20"/>
        </w:rPr>
        <w:t>Rink</w:t>
      </w:r>
    </w:p>
    <w:p w14:paraId="5AEF38AC" w14:textId="77777777" w:rsidR="009910CD" w:rsidRDefault="00FC2690" w:rsidP="009825CC">
      <w:pPr>
        <w:pStyle w:val="BodyText"/>
        <w:spacing w:before="95"/>
        <w:ind w:left="720"/>
      </w:pPr>
      <w:r>
        <w:rPr>
          <w:i/>
          <w:color w:val="231F20"/>
        </w:rPr>
        <w:t xml:space="preserve">See </w:t>
      </w:r>
      <w:r>
        <w:rPr>
          <w:color w:val="231F20"/>
        </w:rPr>
        <w:t>Va.</w:t>
      </w:r>
      <w:r w:rsidR="00B64C57">
        <w:rPr>
          <w:color w:val="231F20"/>
        </w:rPr>
        <w:t xml:space="preserve"> </w:t>
      </w:r>
      <w:r>
        <w:rPr>
          <w:color w:val="231F20"/>
        </w:rPr>
        <w:t>Code § 8.01-227.11 as to Winter Sports Safety</w:t>
      </w:r>
      <w:r w:rsidR="00B64C57">
        <w:rPr>
          <w:color w:val="231F20"/>
        </w:rPr>
        <w:t xml:space="preserve"> </w:t>
      </w:r>
      <w:r>
        <w:rPr>
          <w:color w:val="231F20"/>
        </w:rPr>
        <w:t>Act.</w:t>
      </w:r>
    </w:p>
    <w:p w14:paraId="265E0EBB" w14:textId="77777777" w:rsidR="003F11FC" w:rsidRPr="00ED1338" w:rsidRDefault="003F11FC"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13.70</w:t>
      </w:r>
      <w:r>
        <w:rPr>
          <w:color w:val="231F20"/>
        </w:rPr>
        <w:tab/>
      </w:r>
      <w:r w:rsidRPr="00ED1338">
        <w:rPr>
          <w:color w:val="231F20"/>
        </w:rPr>
        <w:t>Skiing</w:t>
      </w:r>
    </w:p>
    <w:p w14:paraId="15819341" w14:textId="6648C0C8" w:rsidR="00F97E6C" w:rsidRPr="00AF062B" w:rsidRDefault="00F97E6C" w:rsidP="00E85794">
      <w:pPr>
        <w:spacing w:before="115" w:line="369" w:lineRule="auto"/>
        <w:ind w:left="720"/>
        <w:rPr>
          <w:iCs/>
          <w:color w:val="231F20"/>
        </w:rPr>
      </w:pPr>
      <w:r>
        <w:rPr>
          <w:i/>
          <w:color w:val="231F20"/>
        </w:rPr>
        <w:t>See</w:t>
      </w:r>
      <w:r>
        <w:rPr>
          <w:iCs/>
          <w:color w:val="231F20"/>
        </w:rPr>
        <w:t xml:space="preserve"> Winter Sports Safety Act at </w:t>
      </w:r>
      <w:r w:rsidR="002F24E0">
        <w:rPr>
          <w:iCs/>
          <w:color w:val="231F20"/>
        </w:rPr>
        <w:t>Va.</w:t>
      </w:r>
      <w:r>
        <w:rPr>
          <w:iCs/>
          <w:color w:val="231F20"/>
        </w:rPr>
        <w:t xml:space="preserve"> Code § 8.01-</w:t>
      </w:r>
      <w:r w:rsidR="000C0785">
        <w:rPr>
          <w:iCs/>
          <w:color w:val="231F20"/>
        </w:rPr>
        <w:t>227.11.</w:t>
      </w:r>
    </w:p>
    <w:p w14:paraId="1284039C" w14:textId="6A7C19B5" w:rsidR="00E85794" w:rsidRDefault="003F11FC" w:rsidP="00E85794">
      <w:pPr>
        <w:spacing w:before="115" w:line="369" w:lineRule="auto"/>
        <w:ind w:left="720"/>
        <w:rPr>
          <w:color w:val="231F20"/>
        </w:rPr>
      </w:pPr>
      <w:r>
        <w:rPr>
          <w:i/>
          <w:color w:val="231F20"/>
        </w:rPr>
        <w:t xml:space="preserve">See </w:t>
      </w:r>
      <w:r>
        <w:rPr>
          <w:color w:val="231F20"/>
        </w:rPr>
        <w:t xml:space="preserve">the Winter Sports Safety Act at </w:t>
      </w:r>
      <w:r w:rsidR="002F24E0">
        <w:rPr>
          <w:color w:val="231F20"/>
        </w:rPr>
        <w:t>Va.</w:t>
      </w:r>
      <w:r>
        <w:rPr>
          <w:color w:val="231F20"/>
        </w:rPr>
        <w:t xml:space="preserve"> Code § 8.01-227.11. </w:t>
      </w:r>
    </w:p>
    <w:p w14:paraId="6D8B2779" w14:textId="7D76F0CA" w:rsidR="00E85794" w:rsidRPr="00ED1338" w:rsidRDefault="00E85794" w:rsidP="00E85794">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13.72</w:t>
      </w:r>
      <w:r>
        <w:rPr>
          <w:color w:val="231F20"/>
        </w:rPr>
        <w:tab/>
      </w:r>
      <w:r w:rsidR="00701BDE">
        <w:rPr>
          <w:color w:val="231F20"/>
        </w:rPr>
        <w:t>Supervision</w:t>
      </w:r>
    </w:p>
    <w:p w14:paraId="7B31F909" w14:textId="77777777" w:rsidR="00E85794" w:rsidRDefault="00E85794" w:rsidP="00E85794">
      <w:pPr>
        <w:spacing w:before="135"/>
        <w:ind w:left="720"/>
      </w:pPr>
      <w:r w:rsidRPr="000E608E">
        <w:rPr>
          <w:color w:val="231F20"/>
        </w:rPr>
        <w:t>20</w:t>
      </w:r>
      <w:r>
        <w:rPr>
          <w:color w:val="231F20"/>
        </w:rPr>
        <w:t>19</w:t>
      </w:r>
      <w:r w:rsidRPr="000E608E">
        <w:rPr>
          <w:color w:val="231F20"/>
        </w:rPr>
        <w:t>—</w:t>
      </w:r>
      <w:r>
        <w:rPr>
          <w:i/>
          <w:color w:val="231F20"/>
        </w:rPr>
        <w:t>AH v. Church of God in Christ, Inc.</w:t>
      </w:r>
      <w:r w:rsidRPr="000E608E">
        <w:rPr>
          <w:color w:val="231F20"/>
        </w:rPr>
        <w:t xml:space="preserve">, </w:t>
      </w:r>
      <w:r>
        <w:rPr>
          <w:color w:val="231F20"/>
        </w:rPr>
        <w:t>297</w:t>
      </w:r>
      <w:r w:rsidRPr="000E608E">
        <w:rPr>
          <w:color w:val="231F20"/>
        </w:rPr>
        <w:t xml:space="preserve"> Va. </w:t>
      </w:r>
      <w:r>
        <w:rPr>
          <w:color w:val="231F20"/>
        </w:rPr>
        <w:t>604</w:t>
      </w:r>
      <w:r w:rsidRPr="000E608E">
        <w:rPr>
          <w:color w:val="231F20"/>
        </w:rPr>
        <w:t xml:space="preserve">, </w:t>
      </w:r>
      <w:r>
        <w:rPr>
          <w:color w:val="231F20"/>
        </w:rPr>
        <w:t>831</w:t>
      </w:r>
      <w:r w:rsidRPr="000E608E">
        <w:rPr>
          <w:color w:val="231F20"/>
        </w:rPr>
        <w:t xml:space="preserve"> S.E.2d </w:t>
      </w:r>
      <w:r>
        <w:rPr>
          <w:color w:val="231F20"/>
        </w:rPr>
        <w:t>460</w:t>
      </w:r>
      <w:r w:rsidRPr="000E608E">
        <w:rPr>
          <w:color w:val="231F20"/>
        </w:rPr>
        <w:t>.</w:t>
      </w:r>
    </w:p>
    <w:p w14:paraId="472BC7BA" w14:textId="54CECDA5" w:rsidR="00E85794" w:rsidRDefault="00E85794" w:rsidP="00AF062B">
      <w:pPr>
        <w:spacing w:before="135"/>
        <w:ind w:left="1440"/>
        <w:jc w:val="both"/>
        <w:rPr>
          <w:color w:val="231F20"/>
        </w:rPr>
      </w:pPr>
      <w:r>
        <w:rPr>
          <w:color w:val="231F20"/>
        </w:rPr>
        <w:t xml:space="preserve">Matter was before the court on a grant of a demurrer.  As such all factual allegations expressly </w:t>
      </w:r>
      <w:r w:rsidR="00E510B9">
        <w:rPr>
          <w:color w:val="231F20"/>
        </w:rPr>
        <w:t>pled</w:t>
      </w:r>
      <w:r>
        <w:rPr>
          <w:color w:val="231F20"/>
        </w:rPr>
        <w:t xml:space="preserve"> are accepted as true and allegations are looked at in the light most favorable to the plaintiff.  Plaintiff alleged abuse by a church employee.  As a general rule there is no duty to warn or protect against acts of criminal assault by third persons.  The exceptions to that are where a defendant expressly assumes the duty and the other is where duty is imposed when a special relationship exists between the defendant and the third party or between the defendant and the plaintiff, which gives a right of protection to the plaintiff.  The negligent hiring in this case was dismissed because to properly assert such a claim, the plaintiff must show that the employee’s propensity to cause injury to others was either known or should have been discovered by reasonable investigation.  The negligent retention claim was likewise properly dismissed because it was not adequately alleged that the employer knew or should have known that the employee was dangerous and likely to harm others.  The freestanding claim for negligent supervision was likewise properly dismissed because there is no duty of reasonable care imposed on the employer in the supervision of its employees under these circumstance</w:t>
      </w:r>
      <w:r w:rsidR="00E510B9">
        <w:rPr>
          <w:color w:val="231F20"/>
        </w:rPr>
        <w:t>s</w:t>
      </w:r>
      <w:r>
        <w:rPr>
          <w:color w:val="231F20"/>
        </w:rPr>
        <w:t>.  As to the employer’s vicarious liability, the act must occur while the employee was in fact performing a specific job-related service for the employer and must be within the scope of the duties of the employment and in the execution of the service for which the employee was engaged.  Based on the facts presented, vicarious liability is properly alleged.  As to the recovery of emotional distress damages, that has been properly alleged based upon the existence of the duties as stated above.</w:t>
      </w:r>
    </w:p>
    <w:p w14:paraId="0A8EF2A7"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13.77</w:t>
      </w:r>
      <w:r>
        <w:rPr>
          <w:color w:val="231F20"/>
        </w:rPr>
        <w:tab/>
      </w:r>
      <w:r w:rsidRPr="00ED1338">
        <w:rPr>
          <w:color w:val="231F20"/>
        </w:rPr>
        <w:t>Trees</w:t>
      </w:r>
    </w:p>
    <w:p w14:paraId="28FF9649" w14:textId="77777777" w:rsidR="0075466D" w:rsidRDefault="00FC2690" w:rsidP="009825CC">
      <w:pPr>
        <w:spacing w:before="115" w:line="369" w:lineRule="auto"/>
        <w:ind w:left="720"/>
        <w:rPr>
          <w:color w:val="231F20"/>
        </w:rPr>
      </w:pPr>
      <w:r>
        <w:rPr>
          <w:i/>
          <w:color w:val="231F20"/>
        </w:rPr>
        <w:t xml:space="preserve">See </w:t>
      </w:r>
      <w:r>
        <w:rPr>
          <w:color w:val="231F20"/>
        </w:rPr>
        <w:t xml:space="preserve">Va. Code § 10-1-1111 as to cutting trees on state forest reservations. </w:t>
      </w:r>
    </w:p>
    <w:p w14:paraId="636615A7" w14:textId="77777777" w:rsidR="009910CD" w:rsidRDefault="00FC2690" w:rsidP="00810292">
      <w:pPr>
        <w:spacing w:before="115"/>
        <w:ind w:left="720"/>
      </w:pPr>
      <w:r>
        <w:rPr>
          <w:color w:val="231F20"/>
        </w:rPr>
        <w:t>2012—</w:t>
      </w:r>
      <w:r>
        <w:rPr>
          <w:i/>
          <w:color w:val="231F20"/>
        </w:rPr>
        <w:t>Cline v.</w:t>
      </w:r>
      <w:r w:rsidR="00B64C57">
        <w:rPr>
          <w:i/>
          <w:color w:val="231F20"/>
        </w:rPr>
        <w:t xml:space="preserve"> </w:t>
      </w:r>
      <w:r>
        <w:rPr>
          <w:i/>
          <w:color w:val="231F20"/>
        </w:rPr>
        <w:t>Dunlora South, LLC</w:t>
      </w:r>
      <w:r>
        <w:rPr>
          <w:color w:val="231F20"/>
        </w:rPr>
        <w:t>, 284 Va.</w:t>
      </w:r>
      <w:r w:rsidR="00B64C57">
        <w:rPr>
          <w:color w:val="231F20"/>
        </w:rPr>
        <w:t xml:space="preserve"> </w:t>
      </w:r>
      <w:r>
        <w:rPr>
          <w:color w:val="231F20"/>
        </w:rPr>
        <w:t>102, 726 S.E.2d</w:t>
      </w:r>
      <w:r w:rsidR="00B64C57">
        <w:rPr>
          <w:color w:val="231F20"/>
        </w:rPr>
        <w:t xml:space="preserve"> </w:t>
      </w:r>
      <w:r>
        <w:rPr>
          <w:color w:val="231F20"/>
        </w:rPr>
        <w:t>14.</w:t>
      </w:r>
    </w:p>
    <w:p w14:paraId="5E598999" w14:textId="77777777" w:rsidR="009910CD" w:rsidRPr="00473AA3" w:rsidRDefault="00FC2690" w:rsidP="00547312">
      <w:pPr>
        <w:pStyle w:val="BodyText"/>
        <w:spacing w:before="120" w:after="120"/>
        <w:ind w:left="1440"/>
        <w:jc w:val="both"/>
        <w:rPr>
          <w:color w:val="231F20"/>
        </w:rPr>
      </w:pPr>
      <w:r>
        <w:rPr>
          <w:color w:val="231F20"/>
        </w:rPr>
        <w:t>Motorist injured when tree located on private land fell on public</w:t>
      </w:r>
      <w:r w:rsidR="00473AA3">
        <w:rPr>
          <w:color w:val="231F20"/>
        </w:rPr>
        <w:t xml:space="preserve"> </w:t>
      </w:r>
      <w:r>
        <w:rPr>
          <w:color w:val="231F20"/>
        </w:rPr>
        <w:t>roadway striking vehicle. No duty exists in this case. The complaint did not allege any affirmative act of the landowner, making the property different from its natural state or from its condition when the road was built. Demurrer properly</w:t>
      </w:r>
      <w:r w:rsidR="00B64C57">
        <w:rPr>
          <w:color w:val="231F20"/>
        </w:rPr>
        <w:t xml:space="preserve"> </w:t>
      </w:r>
      <w:r>
        <w:rPr>
          <w:color w:val="231F20"/>
        </w:rPr>
        <w:t>sustained.</w:t>
      </w:r>
    </w:p>
    <w:p w14:paraId="2C009BEF"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13.80</w:t>
      </w:r>
      <w:r>
        <w:rPr>
          <w:color w:val="231F20"/>
        </w:rPr>
        <w:tab/>
      </w:r>
      <w:r w:rsidRPr="00ED1338">
        <w:rPr>
          <w:color w:val="231F20"/>
        </w:rPr>
        <w:t>Water</w:t>
      </w:r>
    </w:p>
    <w:p w14:paraId="2E6AE223" w14:textId="77777777" w:rsidR="009910CD" w:rsidRDefault="00FC2690" w:rsidP="009825CC">
      <w:pPr>
        <w:spacing w:before="135"/>
        <w:ind w:left="720"/>
      </w:pPr>
      <w:r>
        <w:rPr>
          <w:color w:val="231F20"/>
        </w:rPr>
        <w:t>2015—</w:t>
      </w:r>
      <w:r>
        <w:rPr>
          <w:i/>
          <w:color w:val="231F20"/>
        </w:rPr>
        <w:t>Collett v.</w:t>
      </w:r>
      <w:r w:rsidR="00B64C57">
        <w:rPr>
          <w:i/>
          <w:color w:val="231F20"/>
        </w:rPr>
        <w:t xml:space="preserve"> </w:t>
      </w:r>
      <w:r>
        <w:rPr>
          <w:i/>
          <w:color w:val="231F20"/>
        </w:rPr>
        <w:t xml:space="preserve">Cordovana, </w:t>
      </w:r>
      <w:r>
        <w:rPr>
          <w:color w:val="231F20"/>
        </w:rPr>
        <w:t>290 Va.</w:t>
      </w:r>
      <w:r w:rsidR="00B64C57">
        <w:rPr>
          <w:color w:val="231F20"/>
        </w:rPr>
        <w:t xml:space="preserve"> </w:t>
      </w:r>
      <w:r>
        <w:rPr>
          <w:color w:val="231F20"/>
        </w:rPr>
        <w:t>139, 772 S.E.2d 584.</w:t>
      </w:r>
    </w:p>
    <w:p w14:paraId="55722909" w14:textId="77777777" w:rsidR="009910CD" w:rsidRPr="00547312" w:rsidRDefault="00FC2690" w:rsidP="00547312">
      <w:pPr>
        <w:pStyle w:val="BodyText"/>
        <w:spacing w:before="120" w:after="120"/>
        <w:ind w:left="1440"/>
        <w:jc w:val="both"/>
        <w:rPr>
          <w:color w:val="231F20"/>
        </w:rPr>
      </w:pPr>
      <w:r>
        <w:rPr>
          <w:color w:val="231F20"/>
        </w:rPr>
        <w:t>Plaintiff landowner alleged that defendant neighbor was</w:t>
      </w:r>
      <w:r w:rsidRPr="00547312">
        <w:rPr>
          <w:color w:val="231F20"/>
        </w:rPr>
        <w:t xml:space="preserve"> </w:t>
      </w:r>
      <w:r>
        <w:rPr>
          <w:color w:val="231F20"/>
        </w:rPr>
        <w:t xml:space="preserve">committing trespass, nuisance, negligence per se, and ordinary negligence for directing large quantities of water onto plaintiff’s property. Surface water is treated as a common </w:t>
      </w:r>
      <w:r w:rsidRPr="00547312">
        <w:rPr>
          <w:color w:val="231F20"/>
        </w:rPr>
        <w:t xml:space="preserve">enemy. </w:t>
      </w:r>
      <w:r>
        <w:rPr>
          <w:color w:val="231F20"/>
        </w:rPr>
        <w:t>Plaintiff failed to set forth proper claim under any of those causes of</w:t>
      </w:r>
      <w:r w:rsidR="00B64C57">
        <w:rPr>
          <w:color w:val="231F20"/>
        </w:rPr>
        <w:t xml:space="preserve"> </w:t>
      </w:r>
      <w:r>
        <w:rPr>
          <w:color w:val="231F20"/>
        </w:rPr>
        <w:t>action.</w:t>
      </w:r>
    </w:p>
    <w:p w14:paraId="5931879D" w14:textId="77777777" w:rsidR="009F430B" w:rsidRDefault="009F430B" w:rsidP="009825CC">
      <w:pPr>
        <w:spacing w:before="121"/>
        <w:ind w:left="720"/>
        <w:rPr>
          <w:color w:val="231F20"/>
        </w:rPr>
      </w:pPr>
    </w:p>
    <w:p w14:paraId="32581DD6" w14:textId="77777777" w:rsidR="009F430B" w:rsidRDefault="009F430B" w:rsidP="009825CC">
      <w:pPr>
        <w:spacing w:before="121"/>
        <w:ind w:left="720"/>
        <w:rPr>
          <w:color w:val="231F20"/>
        </w:rPr>
      </w:pPr>
    </w:p>
    <w:p w14:paraId="5C6A0FC0" w14:textId="77777777" w:rsidR="009F430B" w:rsidRDefault="009F430B" w:rsidP="009825CC">
      <w:pPr>
        <w:spacing w:before="121"/>
        <w:ind w:left="720"/>
        <w:rPr>
          <w:color w:val="231F20"/>
        </w:rPr>
      </w:pPr>
    </w:p>
    <w:p w14:paraId="179D33AF" w14:textId="797D7122" w:rsidR="009910CD" w:rsidRDefault="00FC2690" w:rsidP="009825CC">
      <w:pPr>
        <w:spacing w:before="121"/>
        <w:ind w:left="720"/>
      </w:pPr>
      <w:r>
        <w:rPr>
          <w:color w:val="231F20"/>
        </w:rPr>
        <w:lastRenderedPageBreak/>
        <w:t>2012—</w:t>
      </w:r>
      <w:r>
        <w:rPr>
          <w:i/>
          <w:color w:val="231F20"/>
        </w:rPr>
        <w:t>Kurpiel v.</w:t>
      </w:r>
      <w:r w:rsidR="00B64C57">
        <w:rPr>
          <w:i/>
          <w:color w:val="231F20"/>
        </w:rPr>
        <w:t xml:space="preserve"> </w:t>
      </w:r>
      <w:r>
        <w:rPr>
          <w:i/>
          <w:color w:val="231F20"/>
        </w:rPr>
        <w:t>Hicks</w:t>
      </w:r>
      <w:r>
        <w:rPr>
          <w:color w:val="231F20"/>
        </w:rPr>
        <w:t>, 284 Va.</w:t>
      </w:r>
      <w:r w:rsidR="00B64C57">
        <w:rPr>
          <w:color w:val="231F20"/>
        </w:rPr>
        <w:t xml:space="preserve"> </w:t>
      </w:r>
      <w:r>
        <w:rPr>
          <w:color w:val="231F20"/>
        </w:rPr>
        <w:t>347, 731 S.E.2d</w:t>
      </w:r>
      <w:r w:rsidR="00B64C57">
        <w:rPr>
          <w:color w:val="231F20"/>
        </w:rPr>
        <w:t xml:space="preserve"> </w:t>
      </w:r>
      <w:r>
        <w:rPr>
          <w:color w:val="231F20"/>
        </w:rPr>
        <w:t>921.</w:t>
      </w:r>
    </w:p>
    <w:p w14:paraId="04D48C41" w14:textId="77777777" w:rsidR="009910CD" w:rsidRDefault="00FC2690" w:rsidP="00547312">
      <w:pPr>
        <w:pStyle w:val="BodyText"/>
        <w:spacing w:before="120" w:after="120"/>
        <w:ind w:left="1440"/>
        <w:jc w:val="both"/>
        <w:rPr>
          <w:color w:val="231F20"/>
        </w:rPr>
      </w:pPr>
      <w:r>
        <w:rPr>
          <w:color w:val="231F20"/>
        </w:rPr>
        <w:t>Trial court erred in sustaining demurrer for common law trespass alleging that defendants did not develop their land in a reasonable manner</w:t>
      </w:r>
      <w:r w:rsidRPr="00547312">
        <w:rPr>
          <w:color w:val="231F20"/>
        </w:rPr>
        <w:t xml:space="preserve"> </w:t>
      </w:r>
      <w:r>
        <w:rPr>
          <w:color w:val="231F20"/>
        </w:rPr>
        <w:t>and,</w:t>
      </w:r>
      <w:r w:rsidRPr="00547312">
        <w:rPr>
          <w:color w:val="231F20"/>
        </w:rPr>
        <w:t xml:space="preserve"> </w:t>
      </w:r>
      <w:r>
        <w:rPr>
          <w:color w:val="231F20"/>
        </w:rPr>
        <w:t>as</w:t>
      </w:r>
      <w:r w:rsidRPr="00547312">
        <w:rPr>
          <w:color w:val="231F20"/>
        </w:rPr>
        <w:t xml:space="preserve"> </w:t>
      </w:r>
      <w:r>
        <w:rPr>
          <w:color w:val="231F20"/>
        </w:rPr>
        <w:t>a</w:t>
      </w:r>
      <w:r w:rsidRPr="00547312">
        <w:rPr>
          <w:color w:val="231F20"/>
        </w:rPr>
        <w:t xml:space="preserve"> </w:t>
      </w:r>
      <w:r>
        <w:rPr>
          <w:color w:val="231F20"/>
        </w:rPr>
        <w:t>result,</w:t>
      </w:r>
      <w:r w:rsidRPr="00547312">
        <w:rPr>
          <w:color w:val="231F20"/>
        </w:rPr>
        <w:t xml:space="preserve"> </w:t>
      </w:r>
      <w:r>
        <w:rPr>
          <w:color w:val="231F20"/>
        </w:rPr>
        <w:t>storm</w:t>
      </w:r>
      <w:r w:rsidRPr="00547312">
        <w:rPr>
          <w:color w:val="231F20"/>
        </w:rPr>
        <w:t xml:space="preserve"> </w:t>
      </w:r>
      <w:r>
        <w:rPr>
          <w:color w:val="231F20"/>
        </w:rPr>
        <w:t>water</w:t>
      </w:r>
      <w:r w:rsidRPr="00547312">
        <w:rPr>
          <w:color w:val="231F20"/>
        </w:rPr>
        <w:t xml:space="preserve"> </w:t>
      </w:r>
      <w:r>
        <w:rPr>
          <w:color w:val="231F20"/>
        </w:rPr>
        <w:t>was</w:t>
      </w:r>
      <w:r w:rsidRPr="00547312">
        <w:rPr>
          <w:color w:val="231F20"/>
        </w:rPr>
        <w:t xml:space="preserve"> </w:t>
      </w:r>
      <w:r>
        <w:rPr>
          <w:color w:val="231F20"/>
        </w:rPr>
        <w:t>directed</w:t>
      </w:r>
      <w:r w:rsidRPr="00547312">
        <w:rPr>
          <w:color w:val="231F20"/>
        </w:rPr>
        <w:t xml:space="preserve"> </w:t>
      </w:r>
      <w:r>
        <w:rPr>
          <w:color w:val="231F20"/>
        </w:rPr>
        <w:t>onto</w:t>
      </w:r>
      <w:r w:rsidRPr="00547312">
        <w:rPr>
          <w:color w:val="231F20"/>
        </w:rPr>
        <w:t xml:space="preserve"> </w:t>
      </w:r>
      <w:r>
        <w:rPr>
          <w:color w:val="231F20"/>
        </w:rPr>
        <w:t>the</w:t>
      </w:r>
      <w:r w:rsidRPr="00547312">
        <w:rPr>
          <w:color w:val="231F20"/>
        </w:rPr>
        <w:t xml:space="preserve"> </w:t>
      </w:r>
      <w:r>
        <w:rPr>
          <w:color w:val="231F20"/>
        </w:rPr>
        <w:t>plaintiff’s property amounting to a trespass. Complaint alleged sufficient facts to state the claim based upon a violation of the modified common law rule applicable to surface</w:t>
      </w:r>
      <w:r w:rsidR="00B64C57">
        <w:rPr>
          <w:color w:val="231F20"/>
        </w:rPr>
        <w:t xml:space="preserve"> </w:t>
      </w:r>
      <w:r>
        <w:rPr>
          <w:color w:val="231F20"/>
        </w:rPr>
        <w:t>water.</w:t>
      </w:r>
    </w:p>
    <w:p w14:paraId="69155E9F" w14:textId="77777777" w:rsidR="001200FB" w:rsidRDefault="001200FB">
      <w:pPr>
        <w:rPr>
          <w:b/>
          <w:bCs/>
          <w:color w:val="231F20"/>
          <w:sz w:val="40"/>
          <w:szCs w:val="40"/>
        </w:rPr>
      </w:pPr>
      <w:r>
        <w:rPr>
          <w:color w:val="231F20"/>
        </w:rPr>
        <w:br w:type="page"/>
      </w:r>
    </w:p>
    <w:p w14:paraId="73DBDEC3" w14:textId="77777777" w:rsidR="006149E6" w:rsidRDefault="00FC2690" w:rsidP="006149E6">
      <w:pPr>
        <w:pStyle w:val="Heading1"/>
        <w:spacing w:before="34" w:line="328" w:lineRule="auto"/>
        <w:ind w:left="0" w:right="0" w:firstLine="0"/>
        <w:jc w:val="center"/>
        <w:rPr>
          <w:color w:val="231F20"/>
        </w:rPr>
      </w:pPr>
      <w:r>
        <w:rPr>
          <w:color w:val="231F20"/>
        </w:rPr>
        <w:lastRenderedPageBreak/>
        <w:t xml:space="preserve">Chapter 14 </w:t>
      </w:r>
    </w:p>
    <w:p w14:paraId="54FDD959" w14:textId="77777777" w:rsidR="009910CD" w:rsidRDefault="00FC2690" w:rsidP="006149E6">
      <w:pPr>
        <w:pStyle w:val="Heading1"/>
        <w:spacing w:before="34" w:line="328" w:lineRule="auto"/>
        <w:ind w:left="0" w:right="0" w:firstLine="0"/>
        <w:jc w:val="center"/>
      </w:pPr>
      <w:r w:rsidRPr="008F298C">
        <w:rPr>
          <w:color w:val="231F20"/>
        </w:rPr>
        <w:t>VICARIOUS LIABILITY</w:t>
      </w:r>
    </w:p>
    <w:p w14:paraId="05762CA2" w14:textId="1D4A1707" w:rsidR="00F97E6C" w:rsidRDefault="00F97E6C" w:rsidP="00F97E6C">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14.03</w:t>
      </w:r>
      <w:r>
        <w:rPr>
          <w:color w:val="231F20"/>
        </w:rPr>
        <w:tab/>
        <w:t>Contractors</w:t>
      </w:r>
    </w:p>
    <w:p w14:paraId="55E412C7" w14:textId="7006DA06" w:rsidR="00F97E6C" w:rsidRPr="00AF062B" w:rsidRDefault="00F97E6C" w:rsidP="00AF062B">
      <w:pPr>
        <w:pStyle w:val="Heading4"/>
        <w:numPr>
          <w:ilvl w:val="0"/>
          <w:numId w:val="45"/>
        </w:numPr>
        <w:ind w:left="1170" w:hanging="450"/>
      </w:pPr>
      <w:r>
        <w:rPr>
          <w:color w:val="231F20"/>
        </w:rPr>
        <w:t>Independent Contractors</w:t>
      </w:r>
    </w:p>
    <w:p w14:paraId="3E6222F6" w14:textId="0DFF8575" w:rsidR="00F97E6C" w:rsidRPr="00AF062B" w:rsidRDefault="00F97E6C" w:rsidP="000E25FE">
      <w:pPr>
        <w:pStyle w:val="Heading4"/>
        <w:tabs>
          <w:tab w:val="left" w:pos="720"/>
        </w:tabs>
        <w:spacing w:before="142" w:line="241" w:lineRule="exact"/>
        <w:ind w:left="1440"/>
        <w:jc w:val="both"/>
        <w:rPr>
          <w:b w:val="0"/>
          <w:bCs w:val="0"/>
          <w:color w:val="231F20"/>
        </w:rPr>
      </w:pPr>
      <w:r w:rsidRPr="002046B8">
        <w:rPr>
          <w:b w:val="0"/>
          <w:bCs w:val="0"/>
          <w:i/>
          <w:iCs/>
          <w:color w:val="231F20"/>
        </w:rPr>
        <w:t>See</w:t>
      </w:r>
      <w:r w:rsidRPr="00AF062B">
        <w:rPr>
          <w:b w:val="0"/>
          <w:bCs w:val="0"/>
          <w:color w:val="231F20"/>
        </w:rPr>
        <w:t xml:space="preserve"> </w:t>
      </w:r>
      <w:r w:rsidR="002F24E0">
        <w:rPr>
          <w:b w:val="0"/>
          <w:bCs w:val="0"/>
          <w:color w:val="231F20"/>
        </w:rPr>
        <w:t>Va.</w:t>
      </w:r>
      <w:r>
        <w:rPr>
          <w:b w:val="0"/>
          <w:bCs w:val="0"/>
          <w:color w:val="231F20"/>
        </w:rPr>
        <w:t xml:space="preserve"> Code § 8.01-39 as to completion or acceptance of work not being a bar to action against independent contractor.</w:t>
      </w:r>
    </w:p>
    <w:p w14:paraId="219AEEE9" w14:textId="77777777" w:rsidR="00F97E6C" w:rsidRDefault="00F97E6C" w:rsidP="00F97E6C">
      <w:pPr>
        <w:spacing w:before="142" w:line="250" w:lineRule="exact"/>
        <w:ind w:left="720" w:right="1127"/>
      </w:pPr>
      <w:r>
        <w:rPr>
          <w:color w:val="231F20"/>
        </w:rPr>
        <w:t>2021—</w:t>
      </w:r>
      <w:r>
        <w:rPr>
          <w:i/>
          <w:color w:val="231F20"/>
        </w:rPr>
        <w:t>Doe v. Baker</w:t>
      </w:r>
      <w:r>
        <w:rPr>
          <w:color w:val="231F20"/>
        </w:rPr>
        <w:t>, 299 Va. 628, 857 S.E.2d 573.</w:t>
      </w:r>
    </w:p>
    <w:p w14:paraId="4FCC32FD" w14:textId="0CF34467" w:rsidR="00F97E6C" w:rsidRDefault="00F97E6C" w:rsidP="00F97E6C">
      <w:pPr>
        <w:pStyle w:val="BodyText"/>
        <w:spacing w:before="120" w:after="120"/>
        <w:ind w:left="1440"/>
        <w:jc w:val="both"/>
        <w:rPr>
          <w:color w:val="231F20"/>
        </w:rPr>
      </w:pPr>
      <w:r>
        <w:rPr>
          <w:color w:val="231F20"/>
        </w:rPr>
        <w:t>Negligent hiring or negligent retention claim is not applicable to conduct committed after employment.  Plaintiff must prove that conduct occurred during the course of employ</w:t>
      </w:r>
      <w:r w:rsidR="00B34FEA">
        <w:rPr>
          <w:color w:val="231F20"/>
        </w:rPr>
        <w:t>-</w:t>
      </w:r>
      <w:r>
        <w:rPr>
          <w:color w:val="231F20"/>
        </w:rPr>
        <w:t>ment</w:t>
      </w:r>
      <w:r w:rsidRPr="00547312">
        <w:rPr>
          <w:color w:val="231F20"/>
        </w:rPr>
        <w:t>.</w:t>
      </w:r>
    </w:p>
    <w:p w14:paraId="5E2DC1D5" w14:textId="1922755C" w:rsidR="001D0606" w:rsidRPr="00ED1338" w:rsidRDefault="001D0606" w:rsidP="001D0606">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14.05</w:t>
      </w:r>
      <w:r>
        <w:rPr>
          <w:color w:val="231F20"/>
        </w:rPr>
        <w:tab/>
        <w:t>Motor Vehicle Cases</w:t>
      </w:r>
    </w:p>
    <w:p w14:paraId="1C71E13F" w14:textId="3155F706" w:rsidR="001D0606" w:rsidRPr="001D0606" w:rsidRDefault="001D0606" w:rsidP="001D0606">
      <w:pPr>
        <w:spacing w:before="142" w:line="250" w:lineRule="exact"/>
        <w:ind w:left="1440"/>
      </w:pPr>
      <w:r>
        <w:rPr>
          <w:i/>
          <w:iCs/>
          <w:color w:val="231F20"/>
        </w:rPr>
        <w:t>See</w:t>
      </w:r>
      <w:r>
        <w:rPr>
          <w:color w:val="231F20"/>
        </w:rPr>
        <w:t xml:space="preserve"> Va. Code § 8.01-65 indicating that owner may plead lack of consent as to permission to use and has the burden of proof.</w:t>
      </w:r>
    </w:p>
    <w:p w14:paraId="4F1F33BD" w14:textId="77777777" w:rsidR="000E25FE" w:rsidRDefault="000E25FE" w:rsidP="00192741">
      <w:pPr>
        <w:pStyle w:val="Heading4"/>
        <w:tabs>
          <w:tab w:val="left" w:pos="720"/>
        </w:tabs>
        <w:spacing w:before="0" w:line="241" w:lineRule="exact"/>
        <w:ind w:left="0"/>
        <w:rPr>
          <w:color w:val="231F20"/>
        </w:rPr>
      </w:pPr>
    </w:p>
    <w:p w14:paraId="587352D1" w14:textId="62AE2DC8" w:rsidR="00192741" w:rsidRPr="00ED1338" w:rsidRDefault="00192741" w:rsidP="00192741">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14.06</w:t>
      </w:r>
      <w:r>
        <w:rPr>
          <w:color w:val="231F20"/>
        </w:rPr>
        <w:tab/>
        <w:t>Proof of Agency</w:t>
      </w:r>
    </w:p>
    <w:p w14:paraId="5B3D0F3D" w14:textId="79AFC251" w:rsidR="00192741" w:rsidRDefault="00192741" w:rsidP="00192741">
      <w:pPr>
        <w:spacing w:before="142" w:line="250" w:lineRule="exact"/>
        <w:ind w:left="720" w:right="1127"/>
      </w:pPr>
      <w:r>
        <w:rPr>
          <w:color w:val="231F20"/>
        </w:rPr>
        <w:t>2021—</w:t>
      </w:r>
      <w:r>
        <w:rPr>
          <w:i/>
          <w:color w:val="231F20"/>
        </w:rPr>
        <w:t>Doe v. Baker</w:t>
      </w:r>
      <w:r>
        <w:rPr>
          <w:color w:val="231F20"/>
        </w:rPr>
        <w:t>, 299 Va. 628, 857 S.E.2d 573.</w:t>
      </w:r>
    </w:p>
    <w:p w14:paraId="507E85E7" w14:textId="6C190DF1" w:rsidR="00192741" w:rsidRPr="00547312" w:rsidRDefault="00192741" w:rsidP="00192741">
      <w:pPr>
        <w:pStyle w:val="BodyText"/>
        <w:spacing w:before="120" w:after="120"/>
        <w:ind w:left="1440"/>
        <w:jc w:val="both"/>
        <w:rPr>
          <w:color w:val="231F20"/>
        </w:rPr>
      </w:pPr>
      <w:r>
        <w:rPr>
          <w:color w:val="231F20"/>
        </w:rPr>
        <w:t>Negligent hiring or negligent retention claim is not applicable to conduct committed after employment</w:t>
      </w:r>
      <w:r w:rsidR="00AF062B">
        <w:rPr>
          <w:color w:val="231F20"/>
        </w:rPr>
        <w:t xml:space="preserve"> ends</w:t>
      </w:r>
      <w:r>
        <w:rPr>
          <w:color w:val="231F20"/>
        </w:rPr>
        <w:t>.  Plaintiff must prove that conduct occurred during the course of employment</w:t>
      </w:r>
      <w:r w:rsidRPr="00547312">
        <w:rPr>
          <w:color w:val="231F20"/>
        </w:rPr>
        <w:t>.</w:t>
      </w:r>
    </w:p>
    <w:p w14:paraId="29880493"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14.07</w:t>
      </w:r>
      <w:r>
        <w:rPr>
          <w:color w:val="231F20"/>
        </w:rPr>
        <w:tab/>
        <w:t>Public</w:t>
      </w:r>
      <w:r w:rsidRPr="00ED1338">
        <w:rPr>
          <w:color w:val="231F20"/>
        </w:rPr>
        <w:t xml:space="preserve"> </w:t>
      </w:r>
      <w:r>
        <w:rPr>
          <w:color w:val="231F20"/>
        </w:rPr>
        <w:t>Employee</w:t>
      </w:r>
    </w:p>
    <w:p w14:paraId="62243BB0" w14:textId="77777777" w:rsidR="009910CD" w:rsidRDefault="00FC2690" w:rsidP="009825CC">
      <w:pPr>
        <w:spacing w:before="142" w:line="250" w:lineRule="exact"/>
        <w:ind w:left="720" w:right="1127"/>
      </w:pPr>
      <w:r>
        <w:rPr>
          <w:color w:val="231F20"/>
        </w:rPr>
        <w:t>2010—</w:t>
      </w:r>
      <w:r>
        <w:rPr>
          <w:i/>
          <w:color w:val="231F20"/>
        </w:rPr>
        <w:t>City of Alexandria v. J-W Enterprises, Inc.</w:t>
      </w:r>
      <w:r>
        <w:rPr>
          <w:color w:val="231F20"/>
        </w:rPr>
        <w:t>, 279 Va. 711, 691 S.E.2d 769.</w:t>
      </w:r>
    </w:p>
    <w:p w14:paraId="2312C94C" w14:textId="208908D8" w:rsidR="009910CD" w:rsidRDefault="00FC2690" w:rsidP="00547312">
      <w:pPr>
        <w:pStyle w:val="BodyText"/>
        <w:spacing w:before="120" w:after="120"/>
        <w:ind w:left="1440"/>
        <w:jc w:val="both"/>
        <w:rPr>
          <w:color w:val="231F20"/>
        </w:rPr>
      </w:pPr>
      <w:r>
        <w:rPr>
          <w:color w:val="231F20"/>
        </w:rPr>
        <w:t xml:space="preserve">Police </w:t>
      </w:r>
      <w:r w:rsidRPr="00547312">
        <w:rPr>
          <w:color w:val="231F20"/>
        </w:rPr>
        <w:t xml:space="preserve">officer, </w:t>
      </w:r>
      <w:r>
        <w:rPr>
          <w:color w:val="231F20"/>
        </w:rPr>
        <w:t xml:space="preserve">while working for a restaurant, follows patrons out of restaurant when they did not </w:t>
      </w:r>
      <w:r w:rsidRPr="00547312">
        <w:rPr>
          <w:color w:val="231F20"/>
        </w:rPr>
        <w:t xml:space="preserve">pay. </w:t>
      </w:r>
      <w:r>
        <w:rPr>
          <w:color w:val="231F20"/>
        </w:rPr>
        <w:t xml:space="preserve">Patrons then enter car and drive car towards </w:t>
      </w:r>
      <w:r w:rsidRPr="00547312">
        <w:rPr>
          <w:color w:val="231F20"/>
        </w:rPr>
        <w:t xml:space="preserve">officer </w:t>
      </w:r>
      <w:r>
        <w:rPr>
          <w:color w:val="231F20"/>
        </w:rPr>
        <w:t xml:space="preserve">who believes that they have then committed a misdemeanor and fires at the vehicle. </w:t>
      </w:r>
      <w:r w:rsidRPr="00547312">
        <w:rPr>
          <w:color w:val="231F20"/>
        </w:rPr>
        <w:t xml:space="preserve">City, </w:t>
      </w:r>
      <w:r>
        <w:rPr>
          <w:color w:val="231F20"/>
        </w:rPr>
        <w:t xml:space="preserve">in attempting to seek contribution from restaurant for actions of police </w:t>
      </w:r>
      <w:r w:rsidRPr="00547312">
        <w:rPr>
          <w:color w:val="231F20"/>
        </w:rPr>
        <w:t xml:space="preserve">officer </w:t>
      </w:r>
      <w:r>
        <w:rPr>
          <w:color w:val="231F20"/>
        </w:rPr>
        <w:t xml:space="preserve">acting as a restaurant employee is barred from contribution because the </w:t>
      </w:r>
      <w:r w:rsidRPr="00547312">
        <w:rPr>
          <w:color w:val="231F20"/>
        </w:rPr>
        <w:t xml:space="preserve">officer </w:t>
      </w:r>
      <w:r>
        <w:rPr>
          <w:color w:val="231F20"/>
        </w:rPr>
        <w:t>in shooting was performing a police function and therefore doing so on behalf of the</w:t>
      </w:r>
      <w:r w:rsidR="00B64C57">
        <w:rPr>
          <w:color w:val="231F20"/>
        </w:rPr>
        <w:t xml:space="preserve"> </w:t>
      </w:r>
      <w:r w:rsidRPr="00547312">
        <w:rPr>
          <w:color w:val="231F20"/>
        </w:rPr>
        <w:t>city.</w:t>
      </w:r>
    </w:p>
    <w:p w14:paraId="6E98F139" w14:textId="5DE358EC" w:rsidR="00F36F9E" w:rsidRPr="00ED1338" w:rsidRDefault="00F36F9E" w:rsidP="00F36F9E">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14.08</w:t>
      </w:r>
      <w:r>
        <w:rPr>
          <w:color w:val="231F20"/>
        </w:rPr>
        <w:tab/>
        <w:t>Responsibility for Damages</w:t>
      </w:r>
    </w:p>
    <w:p w14:paraId="7C6B0E8A" w14:textId="696E4BFF" w:rsidR="00F36F9E" w:rsidRDefault="00F36F9E" w:rsidP="00F36F9E">
      <w:pPr>
        <w:spacing w:before="142" w:line="250" w:lineRule="exact"/>
        <w:ind w:left="720" w:right="1127"/>
      </w:pPr>
      <w:r>
        <w:rPr>
          <w:color w:val="231F20"/>
        </w:rPr>
        <w:t>2021—</w:t>
      </w:r>
      <w:r>
        <w:rPr>
          <w:i/>
          <w:color w:val="231F20"/>
        </w:rPr>
        <w:t>Stoots v. Marion Lifesaving Crew, Inc.</w:t>
      </w:r>
      <w:r>
        <w:rPr>
          <w:color w:val="231F20"/>
        </w:rPr>
        <w:t>, 300 Va. 354, 867 S.E.2d 40.</w:t>
      </w:r>
    </w:p>
    <w:p w14:paraId="0DCBC815" w14:textId="5F88433C" w:rsidR="00AF062B" w:rsidRPr="00AF062B" w:rsidRDefault="00F36F9E">
      <w:pPr>
        <w:pStyle w:val="BodyText"/>
        <w:spacing w:before="120" w:after="120"/>
        <w:ind w:left="1440"/>
        <w:jc w:val="both"/>
        <w:rPr>
          <w:color w:val="231F20"/>
        </w:rPr>
      </w:pPr>
      <w:r w:rsidRPr="00AF062B">
        <w:rPr>
          <w:color w:val="231F20"/>
        </w:rPr>
        <w:t>Individual paramedics were immune from suit.  The nonprofit entity for which they worked however was not entitled to that immunity.  Plaintiff not required to bring claim against agent in order to maintain liability of employer.  Liability of the employer is co-termin</w:t>
      </w:r>
      <w:r w:rsidR="00AF062B">
        <w:rPr>
          <w:color w:val="231F20"/>
        </w:rPr>
        <w:t>o</w:t>
      </w:r>
      <w:r w:rsidRPr="00AF062B">
        <w:rPr>
          <w:color w:val="231F20"/>
        </w:rPr>
        <w:t>us with the employee or agent when the agent is found not to be negligent.  No such finding in this case.</w:t>
      </w:r>
    </w:p>
    <w:p w14:paraId="22C133D7" w14:textId="6DFB2377" w:rsidR="009910CD" w:rsidRPr="00AF062B" w:rsidRDefault="002F24E0" w:rsidP="00AF062B">
      <w:pPr>
        <w:pStyle w:val="Heading4"/>
        <w:tabs>
          <w:tab w:val="left" w:pos="720"/>
        </w:tabs>
        <w:spacing w:before="0" w:line="241" w:lineRule="exact"/>
        <w:ind w:left="1440"/>
        <w:jc w:val="both"/>
        <w:rPr>
          <w:b w:val="0"/>
          <w:bCs w:val="0"/>
          <w:color w:val="231F20"/>
        </w:rPr>
      </w:pPr>
      <w:r>
        <w:rPr>
          <w:b w:val="0"/>
          <w:bCs w:val="0"/>
          <w:color w:val="231F20"/>
        </w:rPr>
        <w:t xml:space="preserve">Va. Code </w:t>
      </w:r>
      <w:r w:rsidR="00FC2690" w:rsidRPr="00AF062B">
        <w:rPr>
          <w:b w:val="0"/>
          <w:bCs w:val="0"/>
          <w:color w:val="231F20"/>
        </w:rPr>
        <w:t>§ 14.09</w:t>
      </w:r>
      <w:r>
        <w:rPr>
          <w:b w:val="0"/>
          <w:bCs w:val="0"/>
          <w:color w:val="231F20"/>
        </w:rPr>
        <w:t xml:space="preserve"> </w:t>
      </w:r>
      <w:r w:rsidR="00FC2690" w:rsidRPr="00AF062B">
        <w:rPr>
          <w:b w:val="0"/>
          <w:bCs w:val="0"/>
          <w:color w:val="231F20"/>
        </w:rPr>
        <w:t>Scope of Employment</w:t>
      </w:r>
    </w:p>
    <w:p w14:paraId="6AF33611" w14:textId="77777777" w:rsidR="00E85794" w:rsidRDefault="00E85794" w:rsidP="00E85794">
      <w:pPr>
        <w:spacing w:before="135"/>
        <w:ind w:left="720"/>
      </w:pPr>
      <w:r w:rsidRPr="000E608E">
        <w:rPr>
          <w:color w:val="231F20"/>
        </w:rPr>
        <w:t>20</w:t>
      </w:r>
      <w:r>
        <w:rPr>
          <w:color w:val="231F20"/>
        </w:rPr>
        <w:t>19</w:t>
      </w:r>
      <w:r w:rsidRPr="000E608E">
        <w:rPr>
          <w:color w:val="231F20"/>
        </w:rPr>
        <w:t>—</w:t>
      </w:r>
      <w:r>
        <w:rPr>
          <w:i/>
          <w:color w:val="231F20"/>
        </w:rPr>
        <w:t>AH v. Church of God in Christ, Inc.</w:t>
      </w:r>
      <w:r w:rsidRPr="000E608E">
        <w:rPr>
          <w:color w:val="231F20"/>
        </w:rPr>
        <w:t xml:space="preserve">, </w:t>
      </w:r>
      <w:r>
        <w:rPr>
          <w:color w:val="231F20"/>
        </w:rPr>
        <w:t>297</w:t>
      </w:r>
      <w:r w:rsidRPr="000E608E">
        <w:rPr>
          <w:color w:val="231F20"/>
        </w:rPr>
        <w:t xml:space="preserve"> Va. </w:t>
      </w:r>
      <w:r>
        <w:rPr>
          <w:color w:val="231F20"/>
        </w:rPr>
        <w:t>604</w:t>
      </w:r>
      <w:r w:rsidRPr="000E608E">
        <w:rPr>
          <w:color w:val="231F20"/>
        </w:rPr>
        <w:t xml:space="preserve">, </w:t>
      </w:r>
      <w:r>
        <w:rPr>
          <w:color w:val="231F20"/>
        </w:rPr>
        <w:t>831</w:t>
      </w:r>
      <w:r w:rsidRPr="000E608E">
        <w:rPr>
          <w:color w:val="231F20"/>
        </w:rPr>
        <w:t xml:space="preserve"> S.E.2d </w:t>
      </w:r>
      <w:r>
        <w:rPr>
          <w:color w:val="231F20"/>
        </w:rPr>
        <w:t>460</w:t>
      </w:r>
      <w:r w:rsidRPr="000E608E">
        <w:rPr>
          <w:color w:val="231F20"/>
        </w:rPr>
        <w:t>.</w:t>
      </w:r>
    </w:p>
    <w:p w14:paraId="0F6E1986" w14:textId="0E229247" w:rsidR="00E85794" w:rsidRDefault="00E85794" w:rsidP="00AF062B">
      <w:pPr>
        <w:spacing w:before="135"/>
        <w:ind w:left="1440"/>
        <w:jc w:val="both"/>
        <w:rPr>
          <w:color w:val="231F20"/>
        </w:rPr>
      </w:pPr>
      <w:r>
        <w:rPr>
          <w:color w:val="231F20"/>
        </w:rPr>
        <w:t xml:space="preserve">Matter was before the court on a grant of a demurrer.  As such all factual allegations expressly </w:t>
      </w:r>
      <w:r w:rsidR="007A00D1">
        <w:rPr>
          <w:color w:val="231F20"/>
        </w:rPr>
        <w:t>pled</w:t>
      </w:r>
      <w:r>
        <w:rPr>
          <w:color w:val="231F20"/>
        </w:rPr>
        <w:t xml:space="preserve"> are accepted as true and allegations are looked at in the light most favorable to the plaintiff.  Plaintiff alleged abuse by a church employee.  As a general rule there is no duty to warn or protect against acts of criminal assault by third persons.  The exceptions to that are where a defendant expressly assumes the duty and the other is where duty is </w:t>
      </w:r>
      <w:r>
        <w:rPr>
          <w:color w:val="231F20"/>
        </w:rPr>
        <w:lastRenderedPageBreak/>
        <w:t>imposed when a special relationship exists between the defendant and the third party or between the defendant and the plaintiff, which gives a right of protection to the plaintiff.  The negligent hiring in this case was dismissed because to properly assert such a claim, the plaintiff must show that the employee’s propensity to cause injury to others was either known or should have been discovered by reasonable investigation.  The negligent retention claim was likewise properly dismissed because it was not adequately alleged that the employer knew or should have known that the employee was dangerous and likely to harm others.  The freestanding claim for negligent supervision was likewise properly dismissed because there is no duty of reasonable care imposed on the employer in the supervision of its employees under these circumstance</w:t>
      </w:r>
      <w:r w:rsidR="00E510B9">
        <w:rPr>
          <w:color w:val="231F20"/>
        </w:rPr>
        <w:t>s</w:t>
      </w:r>
      <w:r>
        <w:rPr>
          <w:color w:val="231F20"/>
        </w:rPr>
        <w:t>.  As to the employer’s vicarious liability, the act must occur while the employee was in fact performing a specific job-related service for the employer and must be within the scope of the duties of the employment and in the execution of the service for which the employee was engaged.  Based on the facts presented, vicarious liability is properly alleged.  As to the recovery of emotional distress damages, that has been properly alleged based upon the existence of the duties as stated above.</w:t>
      </w:r>
    </w:p>
    <w:p w14:paraId="68F966A5" w14:textId="7E29715D" w:rsidR="00D014A9" w:rsidRDefault="00D014A9" w:rsidP="00D014A9">
      <w:pPr>
        <w:spacing w:before="141" w:line="250" w:lineRule="exact"/>
        <w:ind w:left="720" w:right="1127"/>
      </w:pPr>
      <w:r>
        <w:rPr>
          <w:color w:val="231F20"/>
        </w:rPr>
        <w:t>2019—</w:t>
      </w:r>
      <w:r>
        <w:rPr>
          <w:i/>
          <w:color w:val="231F20"/>
        </w:rPr>
        <w:t>Our Lady of Peace, Inc. v. Morgan</w:t>
      </w:r>
      <w:r>
        <w:rPr>
          <w:color w:val="231F20"/>
        </w:rPr>
        <w:t>, 297 Va. 832, 832 S.E.2d 15.</w:t>
      </w:r>
    </w:p>
    <w:p w14:paraId="42E3A647" w14:textId="66ED2521" w:rsidR="00D014A9" w:rsidRPr="00547312" w:rsidRDefault="00D014A9" w:rsidP="00D014A9">
      <w:pPr>
        <w:pStyle w:val="BodyText"/>
        <w:spacing w:before="120" w:after="120"/>
        <w:ind w:left="1440"/>
        <w:jc w:val="both"/>
        <w:rPr>
          <w:color w:val="231F20"/>
        </w:rPr>
      </w:pPr>
      <w:r>
        <w:rPr>
          <w:color w:val="231F20"/>
        </w:rPr>
        <w:t>Nursing assistant raped resident in nursing home.  Issue of scope of employment was for the jury.</w:t>
      </w:r>
    </w:p>
    <w:p w14:paraId="68EE80AA" w14:textId="34FF3DAC" w:rsidR="009910CD" w:rsidRDefault="00FC2690" w:rsidP="009825CC">
      <w:pPr>
        <w:spacing w:before="141" w:line="250" w:lineRule="exact"/>
        <w:ind w:left="720" w:right="1127"/>
      </w:pPr>
      <w:r>
        <w:rPr>
          <w:color w:val="231F20"/>
        </w:rPr>
        <w:t>2010—</w:t>
      </w:r>
      <w:r>
        <w:rPr>
          <w:i/>
          <w:color w:val="231F20"/>
        </w:rPr>
        <w:t>City of Alexandria v. J-W Enterprises, Inc.</w:t>
      </w:r>
      <w:r>
        <w:rPr>
          <w:color w:val="231F20"/>
        </w:rPr>
        <w:t>, 279 Va. 711, 691 S.E.2d 769.</w:t>
      </w:r>
    </w:p>
    <w:p w14:paraId="20CAF77D" w14:textId="77777777" w:rsidR="009910CD" w:rsidRPr="00547312" w:rsidRDefault="00FC2690" w:rsidP="00547312">
      <w:pPr>
        <w:pStyle w:val="BodyText"/>
        <w:spacing w:before="120" w:after="120"/>
        <w:ind w:left="1440"/>
        <w:jc w:val="both"/>
        <w:rPr>
          <w:color w:val="231F20"/>
        </w:rPr>
      </w:pPr>
      <w:r>
        <w:rPr>
          <w:color w:val="231F20"/>
        </w:rPr>
        <w:t xml:space="preserve">Police </w:t>
      </w:r>
      <w:r w:rsidRPr="00547312">
        <w:rPr>
          <w:color w:val="231F20"/>
        </w:rPr>
        <w:t xml:space="preserve">officer, </w:t>
      </w:r>
      <w:r>
        <w:rPr>
          <w:color w:val="231F20"/>
        </w:rPr>
        <w:t xml:space="preserve">while working for a restaurant, follows patrons out of restaurant when they did not </w:t>
      </w:r>
      <w:r w:rsidRPr="00547312">
        <w:rPr>
          <w:color w:val="231F20"/>
        </w:rPr>
        <w:t xml:space="preserve">pay. </w:t>
      </w:r>
      <w:r>
        <w:rPr>
          <w:color w:val="231F20"/>
        </w:rPr>
        <w:t xml:space="preserve">Patrons then enter car and drive car towards </w:t>
      </w:r>
      <w:r w:rsidRPr="00547312">
        <w:rPr>
          <w:color w:val="231F20"/>
        </w:rPr>
        <w:t xml:space="preserve">officer </w:t>
      </w:r>
      <w:r>
        <w:rPr>
          <w:color w:val="231F20"/>
        </w:rPr>
        <w:t xml:space="preserve">who believes that they have then committed a misdemeanor and fires at the vehicle. </w:t>
      </w:r>
      <w:r w:rsidRPr="00547312">
        <w:rPr>
          <w:color w:val="231F20"/>
        </w:rPr>
        <w:t xml:space="preserve">City, </w:t>
      </w:r>
      <w:r>
        <w:rPr>
          <w:color w:val="231F20"/>
        </w:rPr>
        <w:t xml:space="preserve">in attempting to seek contribution from restaurant for actions of police </w:t>
      </w:r>
      <w:r w:rsidRPr="00547312">
        <w:rPr>
          <w:color w:val="231F20"/>
        </w:rPr>
        <w:t xml:space="preserve">officer </w:t>
      </w:r>
      <w:r>
        <w:rPr>
          <w:color w:val="231F20"/>
        </w:rPr>
        <w:t xml:space="preserve">acting as a restaurant employee is barred from contribution because the </w:t>
      </w:r>
      <w:r w:rsidRPr="00547312">
        <w:rPr>
          <w:color w:val="231F20"/>
        </w:rPr>
        <w:t xml:space="preserve">officer </w:t>
      </w:r>
      <w:r>
        <w:rPr>
          <w:color w:val="231F20"/>
        </w:rPr>
        <w:t>in shooting was performing a police function and therefore doing so on behalf of the</w:t>
      </w:r>
      <w:r w:rsidR="00B64C57">
        <w:rPr>
          <w:color w:val="231F20"/>
        </w:rPr>
        <w:t xml:space="preserve"> </w:t>
      </w:r>
      <w:r w:rsidRPr="00547312">
        <w:rPr>
          <w:color w:val="231F20"/>
        </w:rPr>
        <w:t>city.</w:t>
      </w:r>
    </w:p>
    <w:p w14:paraId="2585484F" w14:textId="77777777" w:rsidR="009910CD" w:rsidRDefault="009910CD">
      <w:pPr>
        <w:pStyle w:val="BodyText"/>
        <w:spacing w:before="8"/>
        <w:rPr>
          <w:sz w:val="25"/>
        </w:rPr>
      </w:pPr>
    </w:p>
    <w:p w14:paraId="4C5D8BDC" w14:textId="77777777" w:rsidR="00187CBD" w:rsidRDefault="00187CBD">
      <w:pPr>
        <w:rPr>
          <w:b/>
          <w:bCs/>
          <w:color w:val="231F20"/>
          <w:sz w:val="40"/>
          <w:szCs w:val="40"/>
        </w:rPr>
      </w:pPr>
      <w:r>
        <w:rPr>
          <w:color w:val="231F20"/>
        </w:rPr>
        <w:br w:type="page"/>
      </w:r>
    </w:p>
    <w:p w14:paraId="2E57F6B7" w14:textId="7C8318DB" w:rsidR="006149E6" w:rsidRDefault="00FC2690" w:rsidP="006149E6">
      <w:pPr>
        <w:pStyle w:val="Heading1"/>
        <w:spacing w:before="1" w:line="321" w:lineRule="auto"/>
        <w:ind w:left="0" w:right="0" w:firstLine="0"/>
        <w:jc w:val="center"/>
        <w:rPr>
          <w:color w:val="231F20"/>
        </w:rPr>
      </w:pPr>
      <w:r>
        <w:rPr>
          <w:color w:val="231F20"/>
        </w:rPr>
        <w:lastRenderedPageBreak/>
        <w:t>Chapter 15</w:t>
      </w:r>
    </w:p>
    <w:p w14:paraId="7FA0975A" w14:textId="77777777" w:rsidR="009910CD" w:rsidRDefault="00FC2690" w:rsidP="006149E6">
      <w:pPr>
        <w:pStyle w:val="Heading1"/>
        <w:spacing w:before="1" w:line="321" w:lineRule="auto"/>
        <w:ind w:left="0" w:right="0" w:firstLine="0"/>
        <w:jc w:val="center"/>
      </w:pPr>
      <w:r>
        <w:rPr>
          <w:color w:val="231F20"/>
        </w:rPr>
        <w:t>INTENTIONAL TORTS</w:t>
      </w:r>
    </w:p>
    <w:p w14:paraId="1D103A1A" w14:textId="25A681D5" w:rsidR="006C1AA3" w:rsidRPr="00ED1338" w:rsidRDefault="006C1AA3" w:rsidP="006C1AA3">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15.01</w:t>
      </w:r>
      <w:r>
        <w:rPr>
          <w:color w:val="231F20"/>
        </w:rPr>
        <w:tab/>
        <w:t>Abuse</w:t>
      </w:r>
    </w:p>
    <w:p w14:paraId="361EC1C6" w14:textId="0F062CB8" w:rsidR="006C1AA3" w:rsidRDefault="006C1AA3" w:rsidP="006C1AA3">
      <w:pPr>
        <w:spacing w:before="126"/>
        <w:ind w:left="720"/>
        <w:rPr>
          <w:color w:val="231F20"/>
        </w:rPr>
      </w:pPr>
      <w:r w:rsidRPr="00EC7E0D">
        <w:rPr>
          <w:color w:val="231F20"/>
        </w:rPr>
        <w:t>20</w:t>
      </w:r>
      <w:r>
        <w:rPr>
          <w:color w:val="231F20"/>
        </w:rPr>
        <w:t>21</w:t>
      </w:r>
      <w:r w:rsidRPr="00EC7E0D">
        <w:rPr>
          <w:color w:val="231F20"/>
        </w:rPr>
        <w:t>—</w:t>
      </w:r>
      <w:r>
        <w:rPr>
          <w:i/>
          <w:color w:val="231F20"/>
        </w:rPr>
        <w:t>Eubank v. Thomas</w:t>
      </w:r>
      <w:r w:rsidRPr="00EC7E0D">
        <w:rPr>
          <w:color w:val="231F20"/>
        </w:rPr>
        <w:t xml:space="preserve">, </w:t>
      </w:r>
      <w:r>
        <w:rPr>
          <w:color w:val="231F20"/>
        </w:rPr>
        <w:t>300</w:t>
      </w:r>
      <w:r w:rsidRPr="00EC7E0D">
        <w:rPr>
          <w:color w:val="231F20"/>
        </w:rPr>
        <w:t xml:space="preserve"> Va. </w:t>
      </w:r>
      <w:r>
        <w:rPr>
          <w:color w:val="231F20"/>
        </w:rPr>
        <w:t>201</w:t>
      </w:r>
      <w:r w:rsidRPr="00EC7E0D">
        <w:rPr>
          <w:color w:val="231F20"/>
        </w:rPr>
        <w:t xml:space="preserve">, </w:t>
      </w:r>
      <w:r>
        <w:rPr>
          <w:color w:val="231F20"/>
        </w:rPr>
        <w:t>861</w:t>
      </w:r>
      <w:r w:rsidRPr="00EC7E0D">
        <w:rPr>
          <w:color w:val="231F20"/>
        </w:rPr>
        <w:t xml:space="preserve"> S.E.2d </w:t>
      </w:r>
      <w:r>
        <w:rPr>
          <w:color w:val="231F20"/>
        </w:rPr>
        <w:t>397</w:t>
      </w:r>
      <w:r w:rsidRPr="00EC7E0D">
        <w:rPr>
          <w:color w:val="231F20"/>
        </w:rPr>
        <w:t>.</w:t>
      </w:r>
    </w:p>
    <w:p w14:paraId="54FCA624" w14:textId="5BA078C4" w:rsidR="006C1AA3" w:rsidRPr="0075466D" w:rsidRDefault="006C1AA3" w:rsidP="006C1AA3">
      <w:pPr>
        <w:pStyle w:val="BodyText"/>
        <w:spacing w:before="120" w:after="120"/>
        <w:ind w:left="1440"/>
        <w:jc w:val="both"/>
        <w:rPr>
          <w:color w:val="231F20"/>
        </w:rPr>
      </w:pPr>
      <w:r>
        <w:rPr>
          <w:color w:val="231F20"/>
        </w:rPr>
        <w:t>Filing of a lawsuit cannot be abuse of process even if influenced by some ulterior motive.  The abuse of process occurs in misuse of things such as discovery, subpoenas or attachments after the lawsuit has been filed.  There need not be showing of malice.</w:t>
      </w:r>
    </w:p>
    <w:p w14:paraId="4EDB65D5" w14:textId="124ADA70" w:rsidR="00D0683C" w:rsidRPr="00ED1338" w:rsidRDefault="00D0683C"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15.02</w:t>
      </w:r>
      <w:r>
        <w:rPr>
          <w:color w:val="231F20"/>
        </w:rPr>
        <w:tab/>
        <w:t>Assault</w:t>
      </w:r>
    </w:p>
    <w:p w14:paraId="51DE8C3F" w14:textId="77777777" w:rsidR="00D0683C" w:rsidRPr="00D0683C" w:rsidRDefault="00D0683C" w:rsidP="00AF062B">
      <w:pPr>
        <w:pStyle w:val="ListParagraph"/>
        <w:numPr>
          <w:ilvl w:val="0"/>
          <w:numId w:val="36"/>
        </w:numPr>
        <w:tabs>
          <w:tab w:val="left" w:pos="2041"/>
          <w:tab w:val="left" w:pos="2042"/>
        </w:tabs>
        <w:spacing w:before="86"/>
        <w:ind w:left="1170" w:hanging="450"/>
        <w:rPr>
          <w:b/>
        </w:rPr>
      </w:pPr>
      <w:r>
        <w:rPr>
          <w:b/>
          <w:color w:val="231F20"/>
        </w:rPr>
        <w:t>Medical Personnel</w:t>
      </w:r>
    </w:p>
    <w:p w14:paraId="61B72DFE" w14:textId="77777777" w:rsidR="00EC7E0D" w:rsidRDefault="00EC7E0D" w:rsidP="009825CC">
      <w:pPr>
        <w:spacing w:before="126"/>
        <w:ind w:left="720"/>
        <w:rPr>
          <w:color w:val="231F20"/>
        </w:rPr>
      </w:pPr>
      <w:r w:rsidRPr="00EC7E0D">
        <w:rPr>
          <w:color w:val="231F20"/>
        </w:rPr>
        <w:t>201</w:t>
      </w:r>
      <w:r>
        <w:rPr>
          <w:color w:val="231F20"/>
        </w:rPr>
        <w:t>7</w:t>
      </w:r>
      <w:r w:rsidRPr="00EC7E0D">
        <w:rPr>
          <w:color w:val="231F20"/>
        </w:rPr>
        <w:t>—</w:t>
      </w:r>
      <w:r>
        <w:rPr>
          <w:i/>
          <w:color w:val="231F20"/>
        </w:rPr>
        <w:t>Mayr v. Osborne</w:t>
      </w:r>
      <w:r w:rsidRPr="00EC7E0D">
        <w:rPr>
          <w:color w:val="231F20"/>
        </w:rPr>
        <w:t>, 2</w:t>
      </w:r>
      <w:r>
        <w:rPr>
          <w:color w:val="231F20"/>
        </w:rPr>
        <w:t>93</w:t>
      </w:r>
      <w:r w:rsidRPr="00EC7E0D">
        <w:rPr>
          <w:color w:val="231F20"/>
        </w:rPr>
        <w:t xml:space="preserve"> Va. </w:t>
      </w:r>
      <w:r>
        <w:rPr>
          <w:color w:val="231F20"/>
        </w:rPr>
        <w:t>74</w:t>
      </w:r>
      <w:r w:rsidRPr="00EC7E0D">
        <w:rPr>
          <w:color w:val="231F20"/>
        </w:rPr>
        <w:t>, 7</w:t>
      </w:r>
      <w:r>
        <w:rPr>
          <w:color w:val="231F20"/>
        </w:rPr>
        <w:t>95</w:t>
      </w:r>
      <w:r w:rsidRPr="00EC7E0D">
        <w:rPr>
          <w:color w:val="231F20"/>
        </w:rPr>
        <w:t xml:space="preserve"> S.E.2d </w:t>
      </w:r>
      <w:r>
        <w:rPr>
          <w:color w:val="231F20"/>
        </w:rPr>
        <w:t>731</w:t>
      </w:r>
      <w:r w:rsidRPr="00EC7E0D">
        <w:rPr>
          <w:color w:val="231F20"/>
        </w:rPr>
        <w:t>.</w:t>
      </w:r>
    </w:p>
    <w:p w14:paraId="4B6C52B2" w14:textId="77777777" w:rsidR="00EC7E0D" w:rsidRPr="0075466D" w:rsidRDefault="00EC7E0D" w:rsidP="00547312">
      <w:pPr>
        <w:pStyle w:val="BodyText"/>
        <w:spacing w:before="120" w:after="120"/>
        <w:ind w:left="1440"/>
        <w:jc w:val="both"/>
        <w:rPr>
          <w:color w:val="231F20"/>
        </w:rPr>
      </w:pPr>
      <w:r w:rsidRPr="0075466D">
        <w:rPr>
          <w:color w:val="231F20"/>
        </w:rPr>
        <w:t>Surgeon is alleged to have mistakenly fused wrong level of spine.  At best this is only negligence and not assault or battery.</w:t>
      </w:r>
    </w:p>
    <w:p w14:paraId="15AD664F"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15.03</w:t>
      </w:r>
      <w:r>
        <w:rPr>
          <w:color w:val="231F20"/>
        </w:rPr>
        <w:tab/>
        <w:t>Business</w:t>
      </w:r>
      <w:r w:rsidRPr="00ED1338">
        <w:rPr>
          <w:color w:val="231F20"/>
        </w:rPr>
        <w:t xml:space="preserve"> Torts</w:t>
      </w:r>
    </w:p>
    <w:p w14:paraId="383AB0E7" w14:textId="77777777" w:rsidR="009910CD" w:rsidRDefault="00FC2690" w:rsidP="00AF062B">
      <w:pPr>
        <w:pStyle w:val="ListParagraph"/>
        <w:numPr>
          <w:ilvl w:val="0"/>
          <w:numId w:val="37"/>
        </w:numPr>
        <w:spacing w:before="86"/>
        <w:ind w:left="1170" w:hanging="450"/>
        <w:jc w:val="left"/>
        <w:rPr>
          <w:b/>
        </w:rPr>
      </w:pPr>
      <w:r>
        <w:rPr>
          <w:b/>
          <w:color w:val="231F20"/>
        </w:rPr>
        <w:t>Conspiracy</w:t>
      </w:r>
    </w:p>
    <w:p w14:paraId="7FBA00D3" w14:textId="72F43BEB" w:rsidR="00880C19" w:rsidRDefault="00880C19" w:rsidP="00880C19">
      <w:pPr>
        <w:spacing w:before="126"/>
        <w:ind w:left="720"/>
      </w:pPr>
      <w:r>
        <w:rPr>
          <w:color w:val="231F20"/>
        </w:rPr>
        <w:t>2022—</w:t>
      </w:r>
      <w:r>
        <w:rPr>
          <w:i/>
          <w:color w:val="231F20"/>
        </w:rPr>
        <w:t>Sidya v. World Telecom Exchange</w:t>
      </w:r>
      <w:r>
        <w:rPr>
          <w:color w:val="231F20"/>
        </w:rPr>
        <w:t>, 301 Va. 31, 870 S.E.2d 199.</w:t>
      </w:r>
    </w:p>
    <w:p w14:paraId="4A431890" w14:textId="5AC1C25E" w:rsidR="00880C19" w:rsidRDefault="00880C19" w:rsidP="00880C19">
      <w:pPr>
        <w:spacing w:before="126"/>
        <w:ind w:left="1440"/>
        <w:jc w:val="both"/>
        <w:rPr>
          <w:color w:val="231F20"/>
        </w:rPr>
      </w:pPr>
      <w:r>
        <w:rPr>
          <w:color w:val="231F20"/>
        </w:rPr>
        <w:t xml:space="preserve">Conspiracy consists of two or more persons combining for purposes of willfully and maliciously injuring plaintiff in business </w:t>
      </w:r>
      <w:r w:rsidR="00165098">
        <w:rPr>
          <w:color w:val="231F20"/>
        </w:rPr>
        <w:t>with</w:t>
      </w:r>
      <w:r>
        <w:rPr>
          <w:color w:val="231F20"/>
        </w:rPr>
        <w:t xml:space="preserve"> proof of resulting damage.</w:t>
      </w:r>
    </w:p>
    <w:p w14:paraId="3EA15D58" w14:textId="42FEF67E" w:rsidR="009910CD" w:rsidRDefault="00FC2690" w:rsidP="009825CC">
      <w:pPr>
        <w:spacing w:before="126"/>
        <w:ind w:left="720"/>
      </w:pPr>
      <w:r>
        <w:rPr>
          <w:color w:val="231F20"/>
        </w:rPr>
        <w:t>2012—</w:t>
      </w:r>
      <w:r>
        <w:rPr>
          <w:i/>
          <w:color w:val="231F20"/>
        </w:rPr>
        <w:t>Van Buren v.</w:t>
      </w:r>
      <w:r w:rsidR="00B64C57">
        <w:rPr>
          <w:i/>
          <w:color w:val="231F20"/>
        </w:rPr>
        <w:t xml:space="preserve"> </w:t>
      </w:r>
      <w:r>
        <w:rPr>
          <w:i/>
          <w:color w:val="231F20"/>
        </w:rPr>
        <w:t>Grubb</w:t>
      </w:r>
      <w:r>
        <w:rPr>
          <w:color w:val="231F20"/>
        </w:rPr>
        <w:t>, 284 Va.</w:t>
      </w:r>
      <w:r w:rsidR="00B64C57">
        <w:rPr>
          <w:color w:val="231F20"/>
        </w:rPr>
        <w:t xml:space="preserve"> </w:t>
      </w:r>
      <w:r>
        <w:rPr>
          <w:color w:val="231F20"/>
        </w:rPr>
        <w:t>584, 733 S.E.2d</w:t>
      </w:r>
      <w:r w:rsidR="00B64C57">
        <w:rPr>
          <w:color w:val="231F20"/>
        </w:rPr>
        <w:t xml:space="preserve"> </w:t>
      </w:r>
      <w:r>
        <w:rPr>
          <w:color w:val="231F20"/>
        </w:rPr>
        <w:t>919.</w:t>
      </w:r>
    </w:p>
    <w:p w14:paraId="4F86C120" w14:textId="77777777" w:rsidR="009910CD" w:rsidRPr="00547312" w:rsidRDefault="00FC2690" w:rsidP="00547312">
      <w:pPr>
        <w:pStyle w:val="BodyText"/>
        <w:spacing w:before="120" w:after="120"/>
        <w:ind w:left="1440"/>
        <w:jc w:val="both"/>
        <w:rPr>
          <w:color w:val="231F20"/>
        </w:rPr>
      </w:pPr>
      <w:r>
        <w:rPr>
          <w:color w:val="231F20"/>
        </w:rPr>
        <w:t>On certified question from federal court, it was held that Virginia Law recognizes wrongful discharge in violation of established public policy against an individual who is not the plaintiff’s</w:t>
      </w:r>
      <w:r w:rsidR="00B64C57">
        <w:rPr>
          <w:color w:val="231F20"/>
        </w:rPr>
        <w:t xml:space="preserve"> </w:t>
      </w:r>
      <w:r>
        <w:rPr>
          <w:color w:val="231F20"/>
        </w:rPr>
        <w:t>actual</w:t>
      </w:r>
      <w:r w:rsidR="00F47C51" w:rsidRPr="00547312">
        <w:rPr>
          <w:color w:val="231F20"/>
        </w:rPr>
        <w:t xml:space="preserve"> </w:t>
      </w:r>
      <w:r>
        <w:rPr>
          <w:color w:val="231F20"/>
        </w:rPr>
        <w:t>employer but who was the actor in violation of public policy and who participated in the wrongful firing of the</w:t>
      </w:r>
      <w:r w:rsidR="00B64C57">
        <w:rPr>
          <w:color w:val="231F20"/>
        </w:rPr>
        <w:t xml:space="preserve"> </w:t>
      </w:r>
      <w:r>
        <w:rPr>
          <w:color w:val="231F20"/>
        </w:rPr>
        <w:t>plaintiff.</w:t>
      </w:r>
    </w:p>
    <w:p w14:paraId="7FABBF63" w14:textId="77777777" w:rsidR="009910CD" w:rsidRDefault="00FC2690" w:rsidP="009825CC">
      <w:pPr>
        <w:spacing w:before="120"/>
        <w:ind w:left="720"/>
      </w:pPr>
      <w:r>
        <w:rPr>
          <w:color w:val="231F20"/>
        </w:rPr>
        <w:t>2010—</w:t>
      </w:r>
      <w:r>
        <w:rPr>
          <w:i/>
          <w:color w:val="231F20"/>
        </w:rPr>
        <w:t>Syed v.</w:t>
      </w:r>
      <w:r w:rsidR="00B64C57">
        <w:rPr>
          <w:i/>
          <w:color w:val="231F20"/>
        </w:rPr>
        <w:t xml:space="preserve"> </w:t>
      </w:r>
      <w:r>
        <w:rPr>
          <w:i/>
          <w:color w:val="231F20"/>
        </w:rPr>
        <w:t>ZH Technologies</w:t>
      </w:r>
      <w:r>
        <w:rPr>
          <w:color w:val="231F20"/>
        </w:rPr>
        <w:t>, 280 Va.</w:t>
      </w:r>
      <w:r w:rsidR="00B64C57">
        <w:rPr>
          <w:color w:val="231F20"/>
        </w:rPr>
        <w:t xml:space="preserve"> </w:t>
      </w:r>
      <w:r>
        <w:rPr>
          <w:color w:val="231F20"/>
        </w:rPr>
        <w:t>58, 694 S.E.2d</w:t>
      </w:r>
      <w:r w:rsidR="00B64C57">
        <w:rPr>
          <w:color w:val="231F20"/>
        </w:rPr>
        <w:t xml:space="preserve"> </w:t>
      </w:r>
      <w:r>
        <w:rPr>
          <w:color w:val="231F20"/>
        </w:rPr>
        <w:t>625.</w:t>
      </w:r>
    </w:p>
    <w:p w14:paraId="7ADA4634" w14:textId="77777777" w:rsidR="009910CD" w:rsidRPr="00547312" w:rsidRDefault="00FC2690" w:rsidP="00547312">
      <w:pPr>
        <w:pStyle w:val="BodyText"/>
        <w:spacing w:before="120" w:after="120"/>
        <w:ind w:left="1440"/>
        <w:jc w:val="both"/>
        <w:rPr>
          <w:color w:val="231F20"/>
        </w:rPr>
      </w:pPr>
      <w:r>
        <w:rPr>
          <w:color w:val="231F20"/>
        </w:rPr>
        <w:t>Code Section 18.2-500 requires a finding of some compensatory damages as an element of the claim. If there is no finding of compensatory damages, then there is no liability under the</w:t>
      </w:r>
      <w:r w:rsidR="00B64C57">
        <w:rPr>
          <w:color w:val="231F20"/>
        </w:rPr>
        <w:t xml:space="preserve"> </w:t>
      </w:r>
      <w:r>
        <w:rPr>
          <w:color w:val="231F20"/>
        </w:rPr>
        <w:t>statute.</w:t>
      </w:r>
    </w:p>
    <w:p w14:paraId="22C421DE" w14:textId="77777777" w:rsidR="009910CD" w:rsidRDefault="00FC2690" w:rsidP="00AF062B">
      <w:pPr>
        <w:pStyle w:val="Heading4"/>
        <w:numPr>
          <w:ilvl w:val="0"/>
          <w:numId w:val="45"/>
        </w:numPr>
        <w:tabs>
          <w:tab w:val="left" w:pos="2121"/>
          <w:tab w:val="left" w:pos="2122"/>
        </w:tabs>
        <w:ind w:left="1170" w:hanging="450"/>
      </w:pPr>
      <w:r>
        <w:rPr>
          <w:color w:val="231F20"/>
        </w:rPr>
        <w:t>Interference with</w:t>
      </w:r>
      <w:r>
        <w:rPr>
          <w:color w:val="231F20"/>
          <w:spacing w:val="26"/>
        </w:rPr>
        <w:t xml:space="preserve"> </w:t>
      </w:r>
      <w:r>
        <w:rPr>
          <w:color w:val="231F20"/>
        </w:rPr>
        <w:t>Contracts</w:t>
      </w:r>
    </w:p>
    <w:p w14:paraId="7730D127" w14:textId="5A980E17" w:rsidR="00172F34" w:rsidRDefault="00172F34" w:rsidP="00172F34">
      <w:pPr>
        <w:spacing w:before="141" w:line="250" w:lineRule="exact"/>
        <w:ind w:left="720" w:right="821"/>
      </w:pPr>
      <w:r>
        <w:rPr>
          <w:color w:val="231F20"/>
        </w:rPr>
        <w:t>2018—</w:t>
      </w:r>
      <w:r>
        <w:rPr>
          <w:i/>
          <w:color w:val="231F20"/>
        </w:rPr>
        <w:t>Francis Hospitalit</w:t>
      </w:r>
      <w:r w:rsidR="008017C3">
        <w:rPr>
          <w:i/>
          <w:color w:val="231F20"/>
        </w:rPr>
        <w:t xml:space="preserve">y, Inc. </w:t>
      </w:r>
      <w:r>
        <w:rPr>
          <w:i/>
          <w:color w:val="231F20"/>
        </w:rPr>
        <w:t>v. Read Properties</w:t>
      </w:r>
      <w:r w:rsidR="008017C3">
        <w:rPr>
          <w:color w:val="231F20"/>
        </w:rPr>
        <w:t>, LLC</w:t>
      </w:r>
      <w:r>
        <w:rPr>
          <w:color w:val="231F20"/>
        </w:rPr>
        <w:t xml:space="preserve"> 296 Va. 358, </w:t>
      </w:r>
      <w:r w:rsidR="008017C3">
        <w:rPr>
          <w:color w:val="231F20"/>
        </w:rPr>
        <w:t>820</w:t>
      </w:r>
      <w:r>
        <w:rPr>
          <w:color w:val="231F20"/>
        </w:rPr>
        <w:t xml:space="preserve"> S.E.2d </w:t>
      </w:r>
      <w:r w:rsidR="008017C3">
        <w:rPr>
          <w:color w:val="231F20"/>
        </w:rPr>
        <w:t>607</w:t>
      </w:r>
      <w:r>
        <w:rPr>
          <w:color w:val="231F20"/>
        </w:rPr>
        <w:t>.</w:t>
      </w:r>
    </w:p>
    <w:p w14:paraId="33E373F8" w14:textId="6FEE6F8B" w:rsidR="00172F34" w:rsidRDefault="008017C3" w:rsidP="00A4531F">
      <w:pPr>
        <w:pStyle w:val="BodyText"/>
        <w:spacing w:before="120" w:after="120"/>
        <w:ind w:left="1440"/>
        <w:jc w:val="both"/>
        <w:rPr>
          <w:color w:val="231F20"/>
        </w:rPr>
      </w:pPr>
      <w:r>
        <w:rPr>
          <w:color w:val="231F20"/>
        </w:rPr>
        <w:t>In a tortious interference case only a party outside the contractual relationship can be an interfer</w:t>
      </w:r>
      <w:r w:rsidR="00CB6184">
        <w:rPr>
          <w:color w:val="231F20"/>
        </w:rPr>
        <w:t>e</w:t>
      </w:r>
      <w:r>
        <w:rPr>
          <w:color w:val="231F20"/>
        </w:rPr>
        <w:t>r.  Such a claim does not lie against parties to the contract</w:t>
      </w:r>
      <w:r w:rsidR="00172F34">
        <w:rPr>
          <w:color w:val="231F20"/>
        </w:rPr>
        <w:t>.</w:t>
      </w:r>
    </w:p>
    <w:p w14:paraId="5954078E" w14:textId="3B07C37D" w:rsidR="009910CD" w:rsidRDefault="00FC2690" w:rsidP="009825CC">
      <w:pPr>
        <w:spacing w:before="141" w:line="250" w:lineRule="exact"/>
        <w:ind w:left="720" w:right="821"/>
      </w:pPr>
      <w:r>
        <w:rPr>
          <w:color w:val="231F20"/>
        </w:rPr>
        <w:t>2011—</w:t>
      </w:r>
      <w:r>
        <w:rPr>
          <w:i/>
          <w:color w:val="231F20"/>
        </w:rPr>
        <w:t>Lewis-Gale Medical Center, LLC v. Alldredge</w:t>
      </w:r>
      <w:r>
        <w:rPr>
          <w:color w:val="231F20"/>
        </w:rPr>
        <w:t>, 282 Va. 141, 710 S.E.2d 716.</w:t>
      </w:r>
    </w:p>
    <w:p w14:paraId="07B2BE7D" w14:textId="77777777" w:rsidR="009910CD" w:rsidRPr="00547312" w:rsidRDefault="00FC2690" w:rsidP="00547312">
      <w:pPr>
        <w:pStyle w:val="BodyText"/>
        <w:spacing w:before="120" w:after="120"/>
        <w:ind w:left="1440"/>
        <w:jc w:val="both"/>
        <w:rPr>
          <w:color w:val="231F20"/>
        </w:rPr>
      </w:pPr>
      <w:r>
        <w:rPr>
          <w:color w:val="231F20"/>
        </w:rPr>
        <w:t>Hospital employee described an emergency room physician as an “organizational</w:t>
      </w:r>
      <w:r w:rsidRPr="00547312">
        <w:rPr>
          <w:color w:val="231F20"/>
        </w:rPr>
        <w:t xml:space="preserve"> </w:t>
      </w:r>
      <w:r>
        <w:rPr>
          <w:color w:val="231F20"/>
        </w:rPr>
        <w:t>terrorist.”</w:t>
      </w:r>
      <w:r w:rsidRPr="00547312">
        <w:rPr>
          <w:color w:val="231F20"/>
        </w:rPr>
        <w:t xml:space="preserve"> </w:t>
      </w:r>
      <w:r>
        <w:rPr>
          <w:color w:val="231F20"/>
        </w:rPr>
        <w:t>Physician</w:t>
      </w:r>
      <w:r w:rsidRPr="00547312">
        <w:rPr>
          <w:color w:val="231F20"/>
        </w:rPr>
        <w:t xml:space="preserve"> </w:t>
      </w:r>
      <w:r>
        <w:rPr>
          <w:color w:val="231F20"/>
        </w:rPr>
        <w:t>emergency</w:t>
      </w:r>
      <w:r w:rsidRPr="00547312">
        <w:rPr>
          <w:color w:val="231F20"/>
        </w:rPr>
        <w:t xml:space="preserve"> </w:t>
      </w:r>
      <w:r>
        <w:rPr>
          <w:color w:val="231F20"/>
        </w:rPr>
        <w:t>room</w:t>
      </w:r>
      <w:r w:rsidRPr="00547312">
        <w:rPr>
          <w:color w:val="231F20"/>
        </w:rPr>
        <w:t xml:space="preserve"> </w:t>
      </w:r>
      <w:r>
        <w:rPr>
          <w:color w:val="231F20"/>
        </w:rPr>
        <w:t>practice</w:t>
      </w:r>
      <w:r w:rsidRPr="00547312">
        <w:rPr>
          <w:color w:val="231F20"/>
        </w:rPr>
        <w:t xml:space="preserve"> </w:t>
      </w:r>
      <w:r>
        <w:rPr>
          <w:color w:val="231F20"/>
        </w:rPr>
        <w:t xml:space="preserve">group subsequently terminated </w:t>
      </w:r>
      <w:r w:rsidRPr="00547312">
        <w:rPr>
          <w:color w:val="231F20"/>
        </w:rPr>
        <w:t xml:space="preserve">her. </w:t>
      </w:r>
      <w:r>
        <w:rPr>
          <w:color w:val="231F20"/>
        </w:rPr>
        <w:t>These types of comments by hospital employee did not rise to the level of “improper methods” and therefore no jury issue</w:t>
      </w:r>
      <w:r w:rsidR="00B64C57">
        <w:rPr>
          <w:color w:val="231F20"/>
        </w:rPr>
        <w:t xml:space="preserve"> </w:t>
      </w:r>
      <w:r>
        <w:rPr>
          <w:color w:val="231F20"/>
        </w:rPr>
        <w:t>presented.</w:t>
      </w:r>
    </w:p>
    <w:p w14:paraId="33CD812F" w14:textId="77777777" w:rsidR="009F430B" w:rsidRDefault="009F430B" w:rsidP="009825CC">
      <w:pPr>
        <w:spacing w:before="126" w:line="250" w:lineRule="exact"/>
        <w:ind w:left="720" w:right="821"/>
        <w:rPr>
          <w:color w:val="231F20"/>
        </w:rPr>
      </w:pPr>
    </w:p>
    <w:p w14:paraId="080A08FF" w14:textId="77777777" w:rsidR="009F430B" w:rsidRDefault="009F430B" w:rsidP="009825CC">
      <w:pPr>
        <w:spacing w:before="126" w:line="250" w:lineRule="exact"/>
        <w:ind w:left="720" w:right="821"/>
        <w:rPr>
          <w:color w:val="231F20"/>
        </w:rPr>
      </w:pPr>
    </w:p>
    <w:p w14:paraId="39820650" w14:textId="77777777" w:rsidR="009F430B" w:rsidRDefault="009F430B" w:rsidP="009825CC">
      <w:pPr>
        <w:spacing w:before="126" w:line="250" w:lineRule="exact"/>
        <w:ind w:left="720" w:right="821"/>
        <w:rPr>
          <w:color w:val="231F20"/>
        </w:rPr>
      </w:pPr>
    </w:p>
    <w:p w14:paraId="6F426419" w14:textId="0407C7A0" w:rsidR="009910CD" w:rsidRDefault="00FC2690" w:rsidP="009825CC">
      <w:pPr>
        <w:spacing w:before="126" w:line="250" w:lineRule="exact"/>
        <w:ind w:left="720" w:right="821"/>
      </w:pPr>
      <w:r>
        <w:rPr>
          <w:color w:val="231F20"/>
        </w:rPr>
        <w:lastRenderedPageBreak/>
        <w:t>2011—</w:t>
      </w:r>
      <w:r>
        <w:rPr>
          <w:i/>
          <w:color w:val="231F20"/>
        </w:rPr>
        <w:t>Dunn, McCormack &amp; MacPherson v. Connolly</w:t>
      </w:r>
      <w:r>
        <w:rPr>
          <w:color w:val="231F20"/>
        </w:rPr>
        <w:t>, 281 Va. 553, 708 S.E.2d 867.</w:t>
      </w:r>
    </w:p>
    <w:p w14:paraId="6107171B" w14:textId="77777777" w:rsidR="009910CD" w:rsidRPr="00547312" w:rsidRDefault="00FC2690" w:rsidP="00547312">
      <w:pPr>
        <w:pStyle w:val="BodyText"/>
        <w:spacing w:before="120" w:after="120"/>
        <w:ind w:left="1440"/>
        <w:jc w:val="both"/>
        <w:rPr>
          <w:color w:val="231F20"/>
        </w:rPr>
      </w:pPr>
      <w:r>
        <w:rPr>
          <w:color w:val="231F20"/>
        </w:rPr>
        <w:t>When a contract is terminable at will, the plaintiff must not only prove tortious interference but must allege and prove an intentional interference that caused the termination of the contract and also that the defendant employed improper methods. The interference is improper if it is illegal, independent</w:t>
      </w:r>
      <w:r w:rsidR="00103F1A">
        <w:rPr>
          <w:color w:val="231F20"/>
        </w:rPr>
        <w:t>ly tortious, or violates estab</w:t>
      </w:r>
      <w:r>
        <w:rPr>
          <w:color w:val="231F20"/>
        </w:rPr>
        <w:t>lished standard of trade or profession. Conduct that is merely motivated by spite or ill will or malice does not</w:t>
      </w:r>
      <w:r w:rsidR="00B64C57">
        <w:rPr>
          <w:color w:val="231F20"/>
        </w:rPr>
        <w:t xml:space="preserve"> </w:t>
      </w:r>
      <w:r>
        <w:rPr>
          <w:color w:val="231F20"/>
        </w:rPr>
        <w:t>suffice.</w:t>
      </w:r>
    </w:p>
    <w:p w14:paraId="680E42BE" w14:textId="77777777" w:rsidR="009910CD" w:rsidRDefault="00FC2690" w:rsidP="009825CC">
      <w:pPr>
        <w:spacing w:before="126" w:line="250" w:lineRule="exact"/>
        <w:ind w:left="720" w:right="821"/>
      </w:pPr>
      <w:r>
        <w:rPr>
          <w:color w:val="231F20"/>
        </w:rPr>
        <w:t>2009—</w:t>
      </w:r>
      <w:r>
        <w:rPr>
          <w:i/>
          <w:color w:val="231F20"/>
        </w:rPr>
        <w:t>DurretteBradshaw, P.C. v. MRC Consulting, L.C.</w:t>
      </w:r>
      <w:r>
        <w:rPr>
          <w:color w:val="231F20"/>
        </w:rPr>
        <w:t>, 277 Va. 140, 670 S.E.2d 704.</w:t>
      </w:r>
    </w:p>
    <w:p w14:paraId="06236E5C" w14:textId="6B93C8A8" w:rsidR="009910CD" w:rsidRPr="00547312" w:rsidRDefault="00FC2690" w:rsidP="00547312">
      <w:pPr>
        <w:pStyle w:val="BodyText"/>
        <w:spacing w:before="120" w:after="120"/>
        <w:ind w:left="1440"/>
        <w:jc w:val="both"/>
        <w:rPr>
          <w:color w:val="231F20"/>
        </w:rPr>
      </w:pPr>
      <w:r>
        <w:rPr>
          <w:color w:val="231F20"/>
        </w:rPr>
        <w:t>Plaintiff</w:t>
      </w:r>
      <w:r w:rsidRPr="00547312">
        <w:rPr>
          <w:color w:val="231F20"/>
        </w:rPr>
        <w:t xml:space="preserve"> </w:t>
      </w:r>
      <w:r>
        <w:rPr>
          <w:color w:val="231F20"/>
        </w:rPr>
        <w:t>sued</w:t>
      </w:r>
      <w:r w:rsidRPr="00547312">
        <w:rPr>
          <w:color w:val="231F20"/>
        </w:rPr>
        <w:t xml:space="preserve"> </w:t>
      </w:r>
      <w:r>
        <w:rPr>
          <w:color w:val="231F20"/>
        </w:rPr>
        <w:t>law</w:t>
      </w:r>
      <w:r w:rsidRPr="00547312">
        <w:rPr>
          <w:color w:val="231F20"/>
        </w:rPr>
        <w:t xml:space="preserve"> </w:t>
      </w:r>
      <w:r>
        <w:rPr>
          <w:color w:val="231F20"/>
        </w:rPr>
        <w:t>firm</w:t>
      </w:r>
      <w:r w:rsidRPr="00547312">
        <w:rPr>
          <w:color w:val="231F20"/>
        </w:rPr>
        <w:t xml:space="preserve"> </w:t>
      </w:r>
      <w:r>
        <w:rPr>
          <w:color w:val="231F20"/>
        </w:rPr>
        <w:t>alleging</w:t>
      </w:r>
      <w:r w:rsidRPr="00547312">
        <w:rPr>
          <w:color w:val="231F20"/>
        </w:rPr>
        <w:t xml:space="preserve"> </w:t>
      </w:r>
      <w:r>
        <w:rPr>
          <w:color w:val="231F20"/>
        </w:rPr>
        <w:t>tortious</w:t>
      </w:r>
      <w:r w:rsidRPr="00547312">
        <w:rPr>
          <w:color w:val="231F20"/>
        </w:rPr>
        <w:t xml:space="preserve"> </w:t>
      </w:r>
      <w:r>
        <w:rPr>
          <w:color w:val="231F20"/>
        </w:rPr>
        <w:t>interference</w:t>
      </w:r>
      <w:r w:rsidRPr="00547312">
        <w:rPr>
          <w:color w:val="231F20"/>
        </w:rPr>
        <w:t xml:space="preserve"> </w:t>
      </w:r>
      <w:r>
        <w:rPr>
          <w:color w:val="231F20"/>
        </w:rPr>
        <w:t>with</w:t>
      </w:r>
      <w:r w:rsidRPr="00547312">
        <w:rPr>
          <w:color w:val="231F20"/>
        </w:rPr>
        <w:t xml:space="preserve"> </w:t>
      </w:r>
      <w:r>
        <w:rPr>
          <w:color w:val="231F20"/>
        </w:rPr>
        <w:t>contractual relationship where the alleged contract that was directly interfered with</w:t>
      </w:r>
      <w:r w:rsidRPr="00547312">
        <w:rPr>
          <w:color w:val="231F20"/>
        </w:rPr>
        <w:t xml:space="preserve"> </w:t>
      </w:r>
      <w:r>
        <w:rPr>
          <w:color w:val="231F20"/>
        </w:rPr>
        <w:t>was</w:t>
      </w:r>
      <w:r w:rsidRPr="00547312">
        <w:rPr>
          <w:color w:val="231F20"/>
        </w:rPr>
        <w:t xml:space="preserve"> </w:t>
      </w:r>
      <w:r>
        <w:rPr>
          <w:color w:val="231F20"/>
        </w:rPr>
        <w:t>one</w:t>
      </w:r>
      <w:r w:rsidRPr="00547312">
        <w:rPr>
          <w:color w:val="231F20"/>
        </w:rPr>
        <w:t xml:space="preserve"> </w:t>
      </w:r>
      <w:r>
        <w:rPr>
          <w:color w:val="231F20"/>
        </w:rPr>
        <w:t>that</w:t>
      </w:r>
      <w:r w:rsidRPr="00547312">
        <w:rPr>
          <w:color w:val="231F20"/>
        </w:rPr>
        <w:t xml:space="preserve"> </w:t>
      </w:r>
      <w:r>
        <w:rPr>
          <w:color w:val="231F20"/>
        </w:rPr>
        <w:t>the</w:t>
      </w:r>
      <w:r w:rsidRPr="00547312">
        <w:rPr>
          <w:color w:val="231F20"/>
        </w:rPr>
        <w:t xml:space="preserve"> </w:t>
      </w:r>
      <w:r>
        <w:rPr>
          <w:color w:val="231F20"/>
        </w:rPr>
        <w:t>plaintiff</w:t>
      </w:r>
      <w:r w:rsidRPr="00547312">
        <w:rPr>
          <w:color w:val="231F20"/>
        </w:rPr>
        <w:t xml:space="preserve"> </w:t>
      </w:r>
      <w:r>
        <w:rPr>
          <w:color w:val="231F20"/>
        </w:rPr>
        <w:t>was</w:t>
      </w:r>
      <w:r w:rsidRPr="00547312">
        <w:rPr>
          <w:color w:val="231F20"/>
        </w:rPr>
        <w:t xml:space="preserve"> </w:t>
      </w:r>
      <w:r>
        <w:rPr>
          <w:color w:val="231F20"/>
        </w:rPr>
        <w:t>not</w:t>
      </w:r>
      <w:r w:rsidRPr="00547312">
        <w:rPr>
          <w:color w:val="231F20"/>
        </w:rPr>
        <w:t xml:space="preserve"> </w:t>
      </w:r>
      <w:r>
        <w:rPr>
          <w:color w:val="231F20"/>
        </w:rPr>
        <w:t>a</w:t>
      </w:r>
      <w:r w:rsidRPr="00547312">
        <w:rPr>
          <w:color w:val="231F20"/>
        </w:rPr>
        <w:t xml:space="preserve"> </w:t>
      </w:r>
      <w:r>
        <w:rPr>
          <w:color w:val="231F20"/>
        </w:rPr>
        <w:t>party</w:t>
      </w:r>
      <w:r w:rsidRPr="00547312">
        <w:rPr>
          <w:color w:val="231F20"/>
        </w:rPr>
        <w:t xml:space="preserve"> </w:t>
      </w:r>
      <w:r>
        <w:rPr>
          <w:color w:val="231F20"/>
        </w:rPr>
        <w:t>to</w:t>
      </w:r>
      <w:r w:rsidRPr="00547312">
        <w:rPr>
          <w:color w:val="231F20"/>
        </w:rPr>
        <w:t xml:space="preserve"> </w:t>
      </w:r>
      <w:r>
        <w:rPr>
          <w:color w:val="231F20"/>
        </w:rPr>
        <w:t>but</w:t>
      </w:r>
      <w:r w:rsidRPr="00547312">
        <w:rPr>
          <w:color w:val="231F20"/>
        </w:rPr>
        <w:t xml:space="preserve"> </w:t>
      </w:r>
      <w:r>
        <w:rPr>
          <w:color w:val="231F20"/>
        </w:rPr>
        <w:t>that</w:t>
      </w:r>
      <w:r w:rsidRPr="00547312">
        <w:rPr>
          <w:color w:val="231F20"/>
        </w:rPr>
        <w:t xml:space="preserve"> </w:t>
      </w:r>
      <w:r>
        <w:rPr>
          <w:color w:val="231F20"/>
        </w:rPr>
        <w:t>interference then allegedly caused damage to the plaintiff under a separate contract. The complaint did not allege that defendant intended to affect the plaintiff’s contract or that it acted for the purpose interfering with that contract. As such, the claim was demurrable and the demurrer should have been sustained. Judgment in favor of the plaintiff was</w:t>
      </w:r>
      <w:r w:rsidRPr="00547312">
        <w:rPr>
          <w:color w:val="231F20"/>
        </w:rPr>
        <w:t xml:space="preserve"> </w:t>
      </w:r>
      <w:r>
        <w:rPr>
          <w:color w:val="231F20"/>
        </w:rPr>
        <w:t>reversed.</w:t>
      </w:r>
    </w:p>
    <w:p w14:paraId="184D7227" w14:textId="77777777" w:rsidR="009910CD" w:rsidRDefault="00FC2690" w:rsidP="00AF062B">
      <w:pPr>
        <w:pStyle w:val="Heading4"/>
        <w:tabs>
          <w:tab w:val="left" w:pos="2121"/>
        </w:tabs>
        <w:ind w:left="1170" w:hanging="450"/>
      </w:pPr>
      <w:r>
        <w:rPr>
          <w:color w:val="231F20"/>
        </w:rPr>
        <w:t>[4]</w:t>
      </w:r>
      <w:r>
        <w:rPr>
          <w:color w:val="231F20"/>
        </w:rPr>
        <w:tab/>
        <w:t>Wrongful</w:t>
      </w:r>
      <w:r>
        <w:rPr>
          <w:color w:val="231F20"/>
          <w:spacing w:val="-20"/>
        </w:rPr>
        <w:t xml:space="preserve"> </w:t>
      </w:r>
      <w:r>
        <w:rPr>
          <w:color w:val="231F20"/>
        </w:rPr>
        <w:t>Termination</w:t>
      </w:r>
    </w:p>
    <w:p w14:paraId="2C0B0824" w14:textId="77777777" w:rsidR="009910CD" w:rsidRDefault="00FC2690" w:rsidP="009825CC">
      <w:pPr>
        <w:spacing w:before="136"/>
        <w:ind w:left="720"/>
      </w:pPr>
      <w:r>
        <w:rPr>
          <w:color w:val="231F20"/>
        </w:rPr>
        <w:t>2014—</w:t>
      </w:r>
      <w:r>
        <w:rPr>
          <w:i/>
          <w:color w:val="231F20"/>
        </w:rPr>
        <w:t>Anthony v.</w:t>
      </w:r>
      <w:r w:rsidR="00B64C57">
        <w:rPr>
          <w:i/>
          <w:color w:val="231F20"/>
        </w:rPr>
        <w:t xml:space="preserve"> </w:t>
      </w:r>
      <w:r>
        <w:rPr>
          <w:i/>
          <w:color w:val="231F20"/>
        </w:rPr>
        <w:t>Verizon Virginia, Inc.</w:t>
      </w:r>
      <w:r>
        <w:rPr>
          <w:color w:val="231F20"/>
        </w:rPr>
        <w:t>, 288 Va.</w:t>
      </w:r>
      <w:r w:rsidR="00B64C57">
        <w:rPr>
          <w:color w:val="231F20"/>
        </w:rPr>
        <w:t xml:space="preserve"> </w:t>
      </w:r>
      <w:r>
        <w:rPr>
          <w:color w:val="231F20"/>
        </w:rPr>
        <w:t>20, 758 S.E.2d</w:t>
      </w:r>
      <w:r w:rsidR="00B64C57">
        <w:rPr>
          <w:color w:val="231F20"/>
        </w:rPr>
        <w:t xml:space="preserve"> </w:t>
      </w:r>
      <w:r>
        <w:rPr>
          <w:color w:val="231F20"/>
        </w:rPr>
        <w:t>527.</w:t>
      </w:r>
    </w:p>
    <w:p w14:paraId="3E441CA7" w14:textId="77777777" w:rsidR="009910CD" w:rsidRDefault="00FC2690" w:rsidP="00547312">
      <w:pPr>
        <w:pStyle w:val="BodyText"/>
        <w:spacing w:before="120" w:after="120"/>
        <w:ind w:left="1440"/>
        <w:jc w:val="both"/>
        <w:rPr>
          <w:color w:val="231F20"/>
        </w:rPr>
      </w:pPr>
      <w:r>
        <w:rPr>
          <w:color w:val="231F20"/>
        </w:rPr>
        <w:t>Issue was whether or not claims of fraud and negligent infliction of emotional distress were preempted under the Federal Labor Statute. Supreme Court answered the question in the</w:t>
      </w:r>
      <w:r w:rsidR="00B64C57">
        <w:rPr>
          <w:color w:val="231F20"/>
        </w:rPr>
        <w:t xml:space="preserve"> </w:t>
      </w:r>
      <w:r>
        <w:rPr>
          <w:color w:val="231F20"/>
        </w:rPr>
        <w:t>negative.</w:t>
      </w:r>
    </w:p>
    <w:p w14:paraId="560C1443"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15.04</w:t>
      </w:r>
      <w:r>
        <w:rPr>
          <w:color w:val="231F20"/>
        </w:rPr>
        <w:tab/>
        <w:t>Conversion</w:t>
      </w:r>
    </w:p>
    <w:p w14:paraId="28722B8D" w14:textId="77777777" w:rsidR="009910CD" w:rsidRDefault="00FC2690" w:rsidP="00BD498B">
      <w:pPr>
        <w:spacing w:before="141" w:line="250" w:lineRule="exact"/>
        <w:ind w:left="720" w:right="90"/>
      </w:pPr>
      <w:r>
        <w:rPr>
          <w:color w:val="231F20"/>
        </w:rPr>
        <w:t>2011—</w:t>
      </w:r>
      <w:r>
        <w:rPr>
          <w:i/>
          <w:color w:val="231F20"/>
        </w:rPr>
        <w:t>Condominium Services, Inc. v. First Owners’ Ass’n.</w:t>
      </w:r>
      <w:r>
        <w:rPr>
          <w:color w:val="231F20"/>
        </w:rPr>
        <w:t>, 281 Va. 561, 709 S.E.2d 163.</w:t>
      </w:r>
    </w:p>
    <w:p w14:paraId="3EFD9890" w14:textId="77777777" w:rsidR="009910CD" w:rsidRPr="00547312" w:rsidRDefault="00FC2690" w:rsidP="00547312">
      <w:pPr>
        <w:pStyle w:val="BodyText"/>
        <w:spacing w:before="120" w:after="120"/>
        <w:ind w:left="1440"/>
        <w:jc w:val="both"/>
        <w:rPr>
          <w:color w:val="231F20"/>
        </w:rPr>
      </w:pPr>
      <w:r>
        <w:rPr>
          <w:color w:val="231F20"/>
        </w:rPr>
        <w:t>The allegation here is that, after a management contract had ended, the management firm opened a bank account by falsely</w:t>
      </w:r>
      <w:r w:rsidRPr="00547312">
        <w:rPr>
          <w:color w:val="231F20"/>
        </w:rPr>
        <w:t xml:space="preserve"> </w:t>
      </w:r>
      <w:r>
        <w:rPr>
          <w:color w:val="231F20"/>
        </w:rPr>
        <w:t>representing authorization</w:t>
      </w:r>
      <w:r w:rsidRPr="00547312">
        <w:rPr>
          <w:color w:val="231F20"/>
        </w:rPr>
        <w:t xml:space="preserve"> </w:t>
      </w:r>
      <w:r>
        <w:rPr>
          <w:color w:val="231F20"/>
        </w:rPr>
        <w:t>from</w:t>
      </w:r>
      <w:r w:rsidRPr="00547312">
        <w:rPr>
          <w:color w:val="231F20"/>
        </w:rPr>
        <w:t xml:space="preserve"> </w:t>
      </w:r>
      <w:r>
        <w:rPr>
          <w:color w:val="231F20"/>
        </w:rPr>
        <w:t>the</w:t>
      </w:r>
      <w:r w:rsidRPr="00547312">
        <w:rPr>
          <w:color w:val="231F20"/>
        </w:rPr>
        <w:t xml:space="preserve"> </w:t>
      </w:r>
      <w:r>
        <w:rPr>
          <w:color w:val="231F20"/>
        </w:rPr>
        <w:t>other</w:t>
      </w:r>
      <w:r w:rsidRPr="00547312">
        <w:rPr>
          <w:color w:val="231F20"/>
        </w:rPr>
        <w:t xml:space="preserve"> </w:t>
      </w:r>
      <w:r>
        <w:rPr>
          <w:color w:val="231F20"/>
        </w:rPr>
        <w:t>party</w:t>
      </w:r>
      <w:r w:rsidRPr="00547312">
        <w:rPr>
          <w:color w:val="231F20"/>
        </w:rPr>
        <w:t xml:space="preserve"> </w:t>
      </w:r>
      <w:r>
        <w:rPr>
          <w:color w:val="231F20"/>
        </w:rPr>
        <w:t>to</w:t>
      </w:r>
      <w:r w:rsidRPr="00547312">
        <w:rPr>
          <w:color w:val="231F20"/>
        </w:rPr>
        <w:t xml:space="preserve"> </w:t>
      </w:r>
      <w:r>
        <w:rPr>
          <w:color w:val="231F20"/>
        </w:rPr>
        <w:t>do</w:t>
      </w:r>
      <w:r w:rsidRPr="00547312">
        <w:rPr>
          <w:color w:val="231F20"/>
        </w:rPr>
        <w:t xml:space="preserve"> </w:t>
      </w:r>
      <w:r>
        <w:rPr>
          <w:color w:val="231F20"/>
        </w:rPr>
        <w:t>so</w:t>
      </w:r>
      <w:r w:rsidRPr="00547312">
        <w:rPr>
          <w:color w:val="231F20"/>
        </w:rPr>
        <w:t xml:space="preserve"> </w:t>
      </w:r>
      <w:r>
        <w:rPr>
          <w:color w:val="231F20"/>
        </w:rPr>
        <w:t>and</w:t>
      </w:r>
      <w:r w:rsidRPr="00547312">
        <w:rPr>
          <w:color w:val="231F20"/>
        </w:rPr>
        <w:t xml:space="preserve"> </w:t>
      </w:r>
      <w:r>
        <w:rPr>
          <w:color w:val="231F20"/>
        </w:rPr>
        <w:t>then</w:t>
      </w:r>
      <w:r w:rsidRPr="00547312">
        <w:rPr>
          <w:color w:val="231F20"/>
        </w:rPr>
        <w:t xml:space="preserve"> </w:t>
      </w:r>
      <w:r>
        <w:rPr>
          <w:color w:val="231F20"/>
        </w:rPr>
        <w:t>directed</w:t>
      </w:r>
      <w:r w:rsidRPr="00547312">
        <w:rPr>
          <w:color w:val="231F20"/>
        </w:rPr>
        <w:t xml:space="preserve"> </w:t>
      </w:r>
      <w:r>
        <w:rPr>
          <w:color w:val="231F20"/>
        </w:rPr>
        <w:t>the</w:t>
      </w:r>
      <w:r w:rsidRPr="00547312">
        <w:rPr>
          <w:color w:val="231F20"/>
        </w:rPr>
        <w:t xml:space="preserve"> </w:t>
      </w:r>
      <w:r>
        <w:rPr>
          <w:color w:val="231F20"/>
        </w:rPr>
        <w:t>unit owners of this condominium to send money owed to the Owners’ Association to the condominium service company. Because the management agreement had ended, the alleged act referenced</w:t>
      </w:r>
      <w:r w:rsidRPr="00547312">
        <w:rPr>
          <w:color w:val="231F20"/>
        </w:rPr>
        <w:t xml:space="preserve"> </w:t>
      </w:r>
      <w:r>
        <w:rPr>
          <w:color w:val="231F20"/>
        </w:rPr>
        <w:t>above did constitute an independent willful tort of</w:t>
      </w:r>
      <w:r w:rsidR="00B64C57">
        <w:rPr>
          <w:color w:val="231F20"/>
        </w:rPr>
        <w:t xml:space="preserve"> </w:t>
      </w:r>
      <w:r>
        <w:rPr>
          <w:color w:val="231F20"/>
        </w:rPr>
        <w:t>conversion.</w:t>
      </w:r>
    </w:p>
    <w:p w14:paraId="21D2AC13"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15.05</w:t>
      </w:r>
      <w:r>
        <w:rPr>
          <w:color w:val="231F20"/>
        </w:rPr>
        <w:tab/>
        <w:t>Defamation</w:t>
      </w:r>
    </w:p>
    <w:p w14:paraId="2A200DA0" w14:textId="77777777" w:rsidR="009910CD" w:rsidRDefault="00FC2690" w:rsidP="00AF062B">
      <w:pPr>
        <w:pStyle w:val="ListParagraph"/>
        <w:numPr>
          <w:ilvl w:val="0"/>
          <w:numId w:val="10"/>
        </w:numPr>
        <w:spacing w:before="96"/>
        <w:ind w:left="1170" w:hanging="434"/>
        <w:rPr>
          <w:b/>
        </w:rPr>
      </w:pPr>
      <w:r>
        <w:rPr>
          <w:b/>
          <w:color w:val="231F20"/>
        </w:rPr>
        <w:t>Defenses</w:t>
      </w:r>
    </w:p>
    <w:p w14:paraId="2AB779DC" w14:textId="77777777" w:rsidR="009910CD" w:rsidRDefault="00FC2690" w:rsidP="00AF062B">
      <w:pPr>
        <w:spacing w:before="96"/>
        <w:ind w:left="1170"/>
        <w:jc w:val="both"/>
        <w:rPr>
          <w:b/>
        </w:rPr>
      </w:pPr>
      <w:r>
        <w:rPr>
          <w:b/>
          <w:color w:val="231F20"/>
        </w:rPr>
        <w:t>[b]</w:t>
      </w:r>
      <w:r w:rsidR="00B64C57">
        <w:rPr>
          <w:b/>
          <w:color w:val="231F20"/>
        </w:rPr>
        <w:t xml:space="preserve"> </w:t>
      </w:r>
      <w:r>
        <w:rPr>
          <w:b/>
          <w:color w:val="231F20"/>
        </w:rPr>
        <w:t>Privilege</w:t>
      </w:r>
    </w:p>
    <w:p w14:paraId="5BCAB261" w14:textId="77777777" w:rsidR="009910CD" w:rsidRDefault="00FC2690" w:rsidP="009825CC">
      <w:pPr>
        <w:spacing w:before="136"/>
        <w:ind w:left="720"/>
      </w:pPr>
      <w:r>
        <w:rPr>
          <w:color w:val="231F20"/>
        </w:rPr>
        <w:t>2013—</w:t>
      </w:r>
      <w:r>
        <w:rPr>
          <w:i/>
          <w:color w:val="231F20"/>
        </w:rPr>
        <w:t>Cashion v.</w:t>
      </w:r>
      <w:r w:rsidR="00B64C57">
        <w:rPr>
          <w:i/>
          <w:color w:val="231F20"/>
        </w:rPr>
        <w:t xml:space="preserve"> </w:t>
      </w:r>
      <w:r>
        <w:rPr>
          <w:i/>
          <w:color w:val="231F20"/>
        </w:rPr>
        <w:t>Smith</w:t>
      </w:r>
      <w:r>
        <w:rPr>
          <w:color w:val="231F20"/>
        </w:rPr>
        <w:t>, 286 Va.</w:t>
      </w:r>
      <w:r w:rsidR="00B64C57">
        <w:rPr>
          <w:color w:val="231F20"/>
        </w:rPr>
        <w:t xml:space="preserve"> </w:t>
      </w:r>
      <w:r>
        <w:rPr>
          <w:color w:val="231F20"/>
        </w:rPr>
        <w:t>327, 749 S.E.2d</w:t>
      </w:r>
      <w:r w:rsidR="00B64C57">
        <w:rPr>
          <w:color w:val="231F20"/>
        </w:rPr>
        <w:t xml:space="preserve"> </w:t>
      </w:r>
      <w:r>
        <w:rPr>
          <w:color w:val="231F20"/>
        </w:rPr>
        <w:t>526.</w:t>
      </w:r>
    </w:p>
    <w:p w14:paraId="0A2A1BB1" w14:textId="77777777" w:rsidR="009910CD" w:rsidRPr="00547312" w:rsidRDefault="00FC2690" w:rsidP="00547312">
      <w:pPr>
        <w:pStyle w:val="BodyText"/>
        <w:spacing w:before="120" w:after="120"/>
        <w:ind w:left="1440"/>
        <w:jc w:val="both"/>
        <w:rPr>
          <w:color w:val="231F20"/>
        </w:rPr>
      </w:pPr>
      <w:r>
        <w:rPr>
          <w:color w:val="231F20"/>
        </w:rPr>
        <w:t>Malice may defeat a qualified privilege. Malice can be found in knowledge of the fact that the statements were false, acting with reckless disregard for the truth, communicating statements to a</w:t>
      </w:r>
      <w:r w:rsidRPr="00547312">
        <w:rPr>
          <w:color w:val="231F20"/>
        </w:rPr>
        <w:t xml:space="preserve"> </w:t>
      </w:r>
      <w:r>
        <w:rPr>
          <w:color w:val="231F20"/>
        </w:rPr>
        <w:t>third party who has no duty or interest in the matter, personal ill will, strong or violent language disproportionate to the occasion or the fact that the statements were not made in good</w:t>
      </w:r>
      <w:r w:rsidR="00B64C57">
        <w:rPr>
          <w:color w:val="231F20"/>
        </w:rPr>
        <w:t xml:space="preserve"> </w:t>
      </w:r>
      <w:r>
        <w:rPr>
          <w:color w:val="231F20"/>
        </w:rPr>
        <w:t>faith.</w:t>
      </w:r>
    </w:p>
    <w:p w14:paraId="0C7510B9" w14:textId="77777777" w:rsidR="009910CD" w:rsidRDefault="00FC2690" w:rsidP="009825CC">
      <w:pPr>
        <w:spacing w:before="111"/>
        <w:ind w:left="720"/>
      </w:pPr>
      <w:r>
        <w:rPr>
          <w:color w:val="231F20"/>
        </w:rPr>
        <w:t>2011—</w:t>
      </w:r>
      <w:r>
        <w:rPr>
          <w:i/>
          <w:color w:val="231F20"/>
        </w:rPr>
        <w:t xml:space="preserve">Isle of </w:t>
      </w:r>
      <w:r>
        <w:rPr>
          <w:i/>
          <w:color w:val="231F20"/>
          <w:spacing w:val="-3"/>
        </w:rPr>
        <w:t xml:space="preserve">Wight </w:t>
      </w:r>
      <w:r>
        <w:rPr>
          <w:i/>
          <w:color w:val="231F20"/>
        </w:rPr>
        <w:t xml:space="preserve">County </w:t>
      </w:r>
      <w:r>
        <w:rPr>
          <w:i/>
          <w:color w:val="231F20"/>
          <w:spacing w:val="-9"/>
        </w:rPr>
        <w:t>v.</w:t>
      </w:r>
      <w:r w:rsidR="00B64C57">
        <w:rPr>
          <w:i/>
          <w:color w:val="231F20"/>
          <w:spacing w:val="-9"/>
        </w:rPr>
        <w:t xml:space="preserve"> </w:t>
      </w:r>
      <w:r>
        <w:rPr>
          <w:i/>
          <w:color w:val="231F20"/>
        </w:rPr>
        <w:t>Nogiec</w:t>
      </w:r>
      <w:r>
        <w:rPr>
          <w:color w:val="231F20"/>
        </w:rPr>
        <w:t xml:space="preserve">, 281 </w:t>
      </w:r>
      <w:r>
        <w:rPr>
          <w:color w:val="231F20"/>
          <w:spacing w:val="-9"/>
        </w:rPr>
        <w:t>Va.</w:t>
      </w:r>
      <w:r w:rsidR="00B64C57">
        <w:rPr>
          <w:color w:val="231F20"/>
          <w:spacing w:val="-9"/>
        </w:rPr>
        <w:t xml:space="preserve"> </w:t>
      </w:r>
      <w:r>
        <w:rPr>
          <w:color w:val="231F20"/>
        </w:rPr>
        <w:t>140, 704 S.E.2d</w:t>
      </w:r>
      <w:r w:rsidR="00B64C57">
        <w:rPr>
          <w:color w:val="231F20"/>
        </w:rPr>
        <w:t xml:space="preserve"> </w:t>
      </w:r>
      <w:r>
        <w:rPr>
          <w:color w:val="231F20"/>
        </w:rPr>
        <w:t>83.</w:t>
      </w:r>
    </w:p>
    <w:p w14:paraId="020F3E43" w14:textId="77777777" w:rsidR="009910CD" w:rsidRPr="00547312" w:rsidRDefault="00FC2690" w:rsidP="00547312">
      <w:pPr>
        <w:pStyle w:val="BodyText"/>
        <w:spacing w:before="120" w:after="120"/>
        <w:ind w:left="1440"/>
        <w:jc w:val="both"/>
        <w:rPr>
          <w:color w:val="231F20"/>
        </w:rPr>
      </w:pPr>
      <w:r>
        <w:rPr>
          <w:color w:val="231F20"/>
        </w:rPr>
        <w:t>In this defamation action the statements alleged were not absolutely privileged because they were not mad</w:t>
      </w:r>
      <w:r w:rsidR="00103F1A">
        <w:rPr>
          <w:color w:val="231F20"/>
        </w:rPr>
        <w:t>e during a legislative proceed</w:t>
      </w:r>
      <w:r>
        <w:rPr>
          <w:color w:val="231F20"/>
        </w:rPr>
        <w:t>ing. The qualified privilege for reports to a legislative body was applicable making them actionable only if the plaintiff was able to prove they were made with</w:t>
      </w:r>
      <w:r w:rsidR="00B64C57">
        <w:rPr>
          <w:color w:val="231F20"/>
        </w:rPr>
        <w:t xml:space="preserve"> </w:t>
      </w:r>
      <w:r>
        <w:rPr>
          <w:color w:val="231F20"/>
        </w:rPr>
        <w:t>malice.</w:t>
      </w:r>
    </w:p>
    <w:p w14:paraId="42A621C8" w14:textId="77777777" w:rsidR="009F430B" w:rsidRDefault="009F430B">
      <w:pPr>
        <w:rPr>
          <w:b/>
          <w:bCs/>
          <w:color w:val="231F20"/>
        </w:rPr>
      </w:pPr>
      <w:r>
        <w:rPr>
          <w:color w:val="231F20"/>
        </w:rPr>
        <w:br w:type="page"/>
      </w:r>
    </w:p>
    <w:p w14:paraId="1DD43488" w14:textId="4C3905F3" w:rsidR="009910CD" w:rsidRDefault="00FC2690" w:rsidP="00AF062B">
      <w:pPr>
        <w:pStyle w:val="Heading4"/>
        <w:numPr>
          <w:ilvl w:val="0"/>
          <w:numId w:val="10"/>
        </w:numPr>
        <w:spacing w:before="79"/>
        <w:ind w:left="1170" w:hanging="450"/>
      </w:pPr>
      <w:r>
        <w:rPr>
          <w:color w:val="231F20"/>
        </w:rPr>
        <w:lastRenderedPageBreak/>
        <w:t>Elements</w:t>
      </w:r>
    </w:p>
    <w:p w14:paraId="3B9D3329" w14:textId="03BE8F36" w:rsidR="002C3DC8" w:rsidRDefault="002C3DC8" w:rsidP="002C3DC8">
      <w:pPr>
        <w:spacing w:before="141" w:line="250" w:lineRule="exact"/>
        <w:ind w:left="720" w:right="821"/>
      </w:pPr>
      <w:r>
        <w:rPr>
          <w:color w:val="231F20"/>
        </w:rPr>
        <w:t>2023—</w:t>
      </w:r>
      <w:r>
        <w:rPr>
          <w:i/>
          <w:color w:val="231F20"/>
        </w:rPr>
        <w:t>Theologis v. Weiler</w:t>
      </w:r>
      <w:r>
        <w:rPr>
          <w:color w:val="231F20"/>
        </w:rPr>
        <w:t>, 76 Va. App. 596, 883 S.E.2d 241.</w:t>
      </w:r>
    </w:p>
    <w:p w14:paraId="18C085E3" w14:textId="5E910FFA" w:rsidR="002C3DC8" w:rsidRDefault="002C3DC8" w:rsidP="002C3DC8">
      <w:pPr>
        <w:spacing w:before="141" w:line="250" w:lineRule="exact"/>
        <w:ind w:left="1440"/>
        <w:jc w:val="both"/>
        <w:rPr>
          <w:color w:val="231F20"/>
        </w:rPr>
      </w:pPr>
      <w:r>
        <w:rPr>
          <w:color w:val="231F20"/>
        </w:rPr>
        <w:t xml:space="preserve">Statements made against the president of a condo association alleging that he failed to properly apply or follow the governing documents do not carry the requisite sting to constitute defamation. </w:t>
      </w:r>
    </w:p>
    <w:p w14:paraId="44E117E5" w14:textId="7B10AA94" w:rsidR="00A00177" w:rsidRDefault="002C3DC8" w:rsidP="009825CC">
      <w:pPr>
        <w:spacing w:before="126"/>
        <w:ind w:left="720"/>
        <w:rPr>
          <w:color w:val="231F20"/>
        </w:rPr>
      </w:pPr>
      <w:r>
        <w:rPr>
          <w:color w:val="231F20"/>
        </w:rPr>
        <w:t>2</w:t>
      </w:r>
      <w:r w:rsidR="00A00177">
        <w:rPr>
          <w:color w:val="231F20"/>
        </w:rPr>
        <w:t>023—</w:t>
      </w:r>
      <w:r w:rsidR="00A00177">
        <w:rPr>
          <w:i/>
          <w:iCs/>
          <w:color w:val="231F20"/>
        </w:rPr>
        <w:t>Nester v. Scarabelli.</w:t>
      </w:r>
      <w:r w:rsidR="00A00177">
        <w:rPr>
          <w:color w:val="231F20"/>
        </w:rPr>
        <w:t>, 77 Va. App. 440, 886 S.E.2d 301.</w:t>
      </w:r>
    </w:p>
    <w:p w14:paraId="4B3CD3C2" w14:textId="52259D10" w:rsidR="00A00177" w:rsidRDefault="00A00177" w:rsidP="00A00177">
      <w:pPr>
        <w:spacing w:before="126"/>
        <w:ind w:left="1440"/>
        <w:jc w:val="both"/>
        <w:rPr>
          <w:color w:val="231F20"/>
        </w:rPr>
      </w:pPr>
      <w:r>
        <w:rPr>
          <w:color w:val="231F20"/>
        </w:rPr>
        <w:t xml:space="preserve">Defamation requires malintent, a false statement and defamatory sting.  </w:t>
      </w:r>
    </w:p>
    <w:p w14:paraId="28897B86" w14:textId="69B44C54" w:rsidR="000F5A2D" w:rsidRPr="000F5A2D" w:rsidRDefault="000F5A2D" w:rsidP="008F298C">
      <w:pPr>
        <w:spacing w:before="126"/>
        <w:ind w:left="720"/>
        <w:jc w:val="both"/>
        <w:rPr>
          <w:color w:val="231F20"/>
        </w:rPr>
      </w:pPr>
      <w:r>
        <w:rPr>
          <w:color w:val="231F20"/>
        </w:rPr>
        <w:t>2021—</w:t>
      </w:r>
      <w:r>
        <w:rPr>
          <w:i/>
          <w:iCs/>
          <w:color w:val="231F20"/>
        </w:rPr>
        <w:t>Bryant-Shannon v. Hampton Roads Community Action Program, Inc.</w:t>
      </w:r>
      <w:r>
        <w:rPr>
          <w:color w:val="231F20"/>
        </w:rPr>
        <w:t>, 299 Va. 579, 856 S.E.2d 575</w:t>
      </w:r>
    </w:p>
    <w:p w14:paraId="0015F066" w14:textId="3E37C9FF" w:rsidR="000F5A2D" w:rsidRDefault="000F5A2D" w:rsidP="00AF062B">
      <w:pPr>
        <w:spacing w:before="126"/>
        <w:ind w:left="1440"/>
        <w:jc w:val="both"/>
        <w:rPr>
          <w:color w:val="231F20"/>
        </w:rPr>
      </w:pPr>
      <w:r>
        <w:rPr>
          <w:color w:val="231F20"/>
        </w:rPr>
        <w:t>Statements made by employer that were placed in employee’s personnel file that stated that employee needed to improve clarity of communication, not to communicate with staff while on vacation and that salaried employees did not need to take annual leave if they arrived at work after 8:00 a.m. did not carry the requisite defamatory sting to be actionable.</w:t>
      </w:r>
    </w:p>
    <w:p w14:paraId="2E645E48" w14:textId="320FF07B" w:rsidR="00D50C60" w:rsidRDefault="00D50C60" w:rsidP="009825CC">
      <w:pPr>
        <w:spacing w:before="126"/>
        <w:ind w:left="720"/>
        <w:rPr>
          <w:color w:val="231F20"/>
        </w:rPr>
      </w:pPr>
      <w:r>
        <w:rPr>
          <w:color w:val="231F20"/>
        </w:rPr>
        <w:t>2019—</w:t>
      </w:r>
      <w:r>
        <w:rPr>
          <w:i/>
          <w:iCs/>
          <w:color w:val="231F20"/>
        </w:rPr>
        <w:t>Sroufe v. Waldron</w:t>
      </w:r>
      <w:r>
        <w:rPr>
          <w:color w:val="231F20"/>
        </w:rPr>
        <w:t>, 297 Va. 396, 829 S.E.2d 262.</w:t>
      </w:r>
    </w:p>
    <w:p w14:paraId="1AE1C7D3" w14:textId="23331FD6" w:rsidR="00D50C60" w:rsidRDefault="00D50C60" w:rsidP="00AF062B">
      <w:pPr>
        <w:spacing w:before="126"/>
        <w:ind w:left="1440"/>
        <w:jc w:val="both"/>
        <w:rPr>
          <w:color w:val="231F20"/>
        </w:rPr>
      </w:pPr>
      <w:r>
        <w:rPr>
          <w:color w:val="231F20"/>
        </w:rPr>
        <w:t>Superintendent’s statements about principal that he would recommend demotion based upon principal’s failure to insure compliance with certain things was a statement of opinion and therefore not actionable.</w:t>
      </w:r>
    </w:p>
    <w:p w14:paraId="362A24D9" w14:textId="29CF37ED" w:rsidR="00D014A9" w:rsidRDefault="00D014A9" w:rsidP="00D014A9">
      <w:pPr>
        <w:spacing w:before="126"/>
        <w:ind w:left="720"/>
        <w:rPr>
          <w:color w:val="231F20"/>
        </w:rPr>
      </w:pPr>
      <w:r>
        <w:rPr>
          <w:color w:val="231F20"/>
        </w:rPr>
        <w:t>2019—</w:t>
      </w:r>
      <w:r>
        <w:rPr>
          <w:i/>
          <w:iCs/>
          <w:color w:val="231F20"/>
        </w:rPr>
        <w:t>Handberg v. Goldberg</w:t>
      </w:r>
      <w:r>
        <w:rPr>
          <w:color w:val="231F20"/>
        </w:rPr>
        <w:t>, 297 Va. 660, 831 S.E.2d 700.</w:t>
      </w:r>
    </w:p>
    <w:p w14:paraId="09D46C75" w14:textId="2CF102A5" w:rsidR="00D014A9" w:rsidRDefault="00D014A9" w:rsidP="00AF062B">
      <w:pPr>
        <w:spacing w:before="126"/>
        <w:ind w:left="1440"/>
        <w:jc w:val="both"/>
        <w:rPr>
          <w:color w:val="231F20"/>
        </w:rPr>
      </w:pPr>
      <w:r>
        <w:rPr>
          <w:color w:val="231F20"/>
        </w:rPr>
        <w:t>Statements made by parent about improper billing practices to school were statements of fact that could be actionable.</w:t>
      </w:r>
    </w:p>
    <w:p w14:paraId="70F014FB" w14:textId="5B81BAA2" w:rsidR="009910CD" w:rsidRDefault="00FC2690" w:rsidP="009825CC">
      <w:pPr>
        <w:spacing w:before="126"/>
        <w:ind w:left="720"/>
      </w:pPr>
      <w:r>
        <w:rPr>
          <w:color w:val="231F20"/>
        </w:rPr>
        <w:t>2015—</w:t>
      </w:r>
      <w:r>
        <w:rPr>
          <w:i/>
          <w:color w:val="231F20"/>
        </w:rPr>
        <w:t>Pendleton v.</w:t>
      </w:r>
      <w:r w:rsidR="00B64C57">
        <w:rPr>
          <w:i/>
          <w:color w:val="231F20"/>
        </w:rPr>
        <w:t xml:space="preserve"> </w:t>
      </w:r>
      <w:r>
        <w:rPr>
          <w:i/>
          <w:color w:val="231F20"/>
        </w:rPr>
        <w:t>Newsome</w:t>
      </w:r>
      <w:r>
        <w:rPr>
          <w:color w:val="231F20"/>
        </w:rPr>
        <w:t>, 290 Va.</w:t>
      </w:r>
      <w:r w:rsidR="00B64C57">
        <w:rPr>
          <w:color w:val="231F20"/>
        </w:rPr>
        <w:t xml:space="preserve"> </w:t>
      </w:r>
      <w:r>
        <w:rPr>
          <w:color w:val="231F20"/>
        </w:rPr>
        <w:t>162, 772 S.E.2d</w:t>
      </w:r>
      <w:r w:rsidR="00B64C57">
        <w:rPr>
          <w:color w:val="231F20"/>
        </w:rPr>
        <w:t xml:space="preserve"> </w:t>
      </w:r>
      <w:r>
        <w:rPr>
          <w:color w:val="231F20"/>
        </w:rPr>
        <w:t>759.</w:t>
      </w:r>
    </w:p>
    <w:p w14:paraId="4561CE47" w14:textId="77777777" w:rsidR="009910CD" w:rsidRPr="00547312" w:rsidRDefault="00FC2690" w:rsidP="00547312">
      <w:pPr>
        <w:pStyle w:val="BodyText"/>
        <w:spacing w:before="120" w:after="120"/>
        <w:ind w:left="1440"/>
        <w:jc w:val="both"/>
        <w:rPr>
          <w:color w:val="231F20"/>
        </w:rPr>
      </w:pPr>
      <w:r>
        <w:rPr>
          <w:color w:val="231F20"/>
        </w:rPr>
        <w:t>Trial court erred in sustaining demurrer where reasonable inference could be made from statements that defendant was alleging plaintiff bore responsibility for the death of her child. Case is</w:t>
      </w:r>
      <w:r w:rsidR="00B64C57">
        <w:rPr>
          <w:color w:val="231F20"/>
        </w:rPr>
        <w:t xml:space="preserve"> </w:t>
      </w:r>
      <w:r>
        <w:rPr>
          <w:color w:val="231F20"/>
        </w:rPr>
        <w:t>remanded.</w:t>
      </w:r>
    </w:p>
    <w:p w14:paraId="5433659D" w14:textId="77777777" w:rsidR="009910CD" w:rsidRDefault="00FC2690" w:rsidP="009825CC">
      <w:pPr>
        <w:spacing w:before="118"/>
        <w:ind w:left="720"/>
      </w:pPr>
      <w:r>
        <w:rPr>
          <w:color w:val="231F20"/>
        </w:rPr>
        <w:t>2015—</w:t>
      </w:r>
      <w:r>
        <w:rPr>
          <w:i/>
          <w:color w:val="231F20"/>
        </w:rPr>
        <w:t>Schaecher v.</w:t>
      </w:r>
      <w:r w:rsidR="00B64C57">
        <w:rPr>
          <w:i/>
          <w:color w:val="231F20"/>
        </w:rPr>
        <w:t xml:space="preserve"> </w:t>
      </w:r>
      <w:r>
        <w:rPr>
          <w:i/>
          <w:color w:val="231F20"/>
        </w:rPr>
        <w:t>Bouffault</w:t>
      </w:r>
      <w:r>
        <w:rPr>
          <w:color w:val="231F20"/>
        </w:rPr>
        <w:t>, 290 Va.</w:t>
      </w:r>
      <w:r w:rsidR="00B64C57">
        <w:rPr>
          <w:color w:val="231F20"/>
        </w:rPr>
        <w:t xml:space="preserve"> </w:t>
      </w:r>
      <w:r>
        <w:rPr>
          <w:color w:val="231F20"/>
        </w:rPr>
        <w:t>83, 772 S.E.2d</w:t>
      </w:r>
      <w:r w:rsidR="00B64C57">
        <w:rPr>
          <w:color w:val="231F20"/>
        </w:rPr>
        <w:t xml:space="preserve"> </w:t>
      </w:r>
      <w:r>
        <w:rPr>
          <w:color w:val="231F20"/>
        </w:rPr>
        <w:t>589.</w:t>
      </w:r>
    </w:p>
    <w:p w14:paraId="52CE207C" w14:textId="77777777" w:rsidR="009910CD" w:rsidRPr="00547312" w:rsidRDefault="00FC2690" w:rsidP="00547312">
      <w:pPr>
        <w:pStyle w:val="BodyText"/>
        <w:spacing w:before="120" w:after="120"/>
        <w:ind w:left="1440"/>
        <w:jc w:val="both"/>
        <w:rPr>
          <w:color w:val="231F20"/>
        </w:rPr>
      </w:pPr>
      <w:r>
        <w:rPr>
          <w:color w:val="231F20"/>
        </w:rPr>
        <w:t>Statement in email charging that individual plaintiff is “lying” and manipulating facts with the basis for that statement being fully disclosed is not defamatory but rather is</w:t>
      </w:r>
      <w:r w:rsidR="00B64C57">
        <w:rPr>
          <w:color w:val="231F20"/>
        </w:rPr>
        <w:t xml:space="preserve"> </w:t>
      </w:r>
      <w:r>
        <w:rPr>
          <w:color w:val="231F20"/>
        </w:rPr>
        <w:t>opinion.</w:t>
      </w:r>
    </w:p>
    <w:p w14:paraId="48C116D4" w14:textId="77777777" w:rsidR="009910CD" w:rsidRDefault="00FC2690" w:rsidP="009825CC">
      <w:pPr>
        <w:spacing w:before="118"/>
        <w:ind w:left="720"/>
      </w:pPr>
      <w:r>
        <w:rPr>
          <w:color w:val="231F20"/>
        </w:rPr>
        <w:t>2013—</w:t>
      </w:r>
      <w:r>
        <w:rPr>
          <w:i/>
          <w:color w:val="231F20"/>
        </w:rPr>
        <w:t>Cashion v.</w:t>
      </w:r>
      <w:r w:rsidR="00B64C57">
        <w:rPr>
          <w:i/>
          <w:color w:val="231F20"/>
        </w:rPr>
        <w:t xml:space="preserve"> </w:t>
      </w:r>
      <w:r>
        <w:rPr>
          <w:i/>
          <w:color w:val="231F20"/>
        </w:rPr>
        <w:t>Smith</w:t>
      </w:r>
      <w:r>
        <w:rPr>
          <w:color w:val="231F20"/>
        </w:rPr>
        <w:t>, 286 Va.</w:t>
      </w:r>
      <w:r w:rsidR="00B64C57">
        <w:rPr>
          <w:color w:val="231F20"/>
        </w:rPr>
        <w:t xml:space="preserve"> </w:t>
      </w:r>
      <w:r>
        <w:rPr>
          <w:color w:val="231F20"/>
        </w:rPr>
        <w:t>327, 749 S.E.2d</w:t>
      </w:r>
      <w:r w:rsidR="00B64C57">
        <w:rPr>
          <w:color w:val="231F20"/>
        </w:rPr>
        <w:t xml:space="preserve"> </w:t>
      </w:r>
      <w:r>
        <w:rPr>
          <w:color w:val="231F20"/>
        </w:rPr>
        <w:t>526.</w:t>
      </w:r>
    </w:p>
    <w:p w14:paraId="5C461387" w14:textId="67059FC5" w:rsidR="009910CD" w:rsidRPr="00547312" w:rsidRDefault="00FC2690" w:rsidP="00A01B9B">
      <w:pPr>
        <w:pStyle w:val="BodyText"/>
        <w:spacing w:before="120" w:after="120"/>
        <w:ind w:left="1440"/>
        <w:jc w:val="both"/>
        <w:rPr>
          <w:color w:val="231F20"/>
        </w:rPr>
      </w:pPr>
      <w:r>
        <w:rPr>
          <w:color w:val="231F20"/>
        </w:rPr>
        <w:t>A</w:t>
      </w:r>
      <w:r w:rsidRPr="00547312">
        <w:rPr>
          <w:color w:val="231F20"/>
        </w:rPr>
        <w:t xml:space="preserve"> </w:t>
      </w:r>
      <w:r>
        <w:rPr>
          <w:color w:val="231F20"/>
        </w:rPr>
        <w:t>statement</w:t>
      </w:r>
      <w:r w:rsidRPr="00547312">
        <w:rPr>
          <w:color w:val="231F20"/>
        </w:rPr>
        <w:t xml:space="preserve"> </w:t>
      </w:r>
      <w:r>
        <w:rPr>
          <w:color w:val="231F20"/>
        </w:rPr>
        <w:t>made</w:t>
      </w:r>
      <w:r w:rsidRPr="00547312">
        <w:rPr>
          <w:color w:val="231F20"/>
        </w:rPr>
        <w:t xml:space="preserve"> </w:t>
      </w:r>
      <w:r>
        <w:rPr>
          <w:color w:val="231F20"/>
        </w:rPr>
        <w:t>by</w:t>
      </w:r>
      <w:r w:rsidRPr="00547312">
        <w:rPr>
          <w:color w:val="231F20"/>
        </w:rPr>
        <w:t xml:space="preserve"> </w:t>
      </w:r>
      <w:r>
        <w:rPr>
          <w:color w:val="231F20"/>
        </w:rPr>
        <w:t>a</w:t>
      </w:r>
      <w:r w:rsidRPr="00547312">
        <w:rPr>
          <w:color w:val="231F20"/>
        </w:rPr>
        <w:t xml:space="preserve"> </w:t>
      </w:r>
      <w:r>
        <w:rPr>
          <w:color w:val="231F20"/>
        </w:rPr>
        <w:t>surgeon</w:t>
      </w:r>
      <w:r w:rsidRPr="00547312">
        <w:rPr>
          <w:color w:val="231F20"/>
        </w:rPr>
        <w:t xml:space="preserve"> </w:t>
      </w:r>
      <w:r>
        <w:rPr>
          <w:color w:val="231F20"/>
        </w:rPr>
        <w:t>to</w:t>
      </w:r>
      <w:r w:rsidRPr="00547312">
        <w:rPr>
          <w:color w:val="231F20"/>
        </w:rPr>
        <w:t xml:space="preserve"> </w:t>
      </w:r>
      <w:r>
        <w:rPr>
          <w:color w:val="231F20"/>
        </w:rPr>
        <w:t>an</w:t>
      </w:r>
      <w:r w:rsidRPr="00547312">
        <w:rPr>
          <w:color w:val="231F20"/>
        </w:rPr>
        <w:t xml:space="preserve"> </w:t>
      </w:r>
      <w:r>
        <w:rPr>
          <w:color w:val="231F20"/>
        </w:rPr>
        <w:t>anesthesiologist</w:t>
      </w:r>
      <w:r w:rsidRPr="00547312">
        <w:rPr>
          <w:color w:val="231F20"/>
        </w:rPr>
        <w:t xml:space="preserve"> </w:t>
      </w:r>
      <w:r>
        <w:rPr>
          <w:color w:val="231F20"/>
        </w:rPr>
        <w:t>that</w:t>
      </w:r>
      <w:r w:rsidRPr="00547312">
        <w:rPr>
          <w:color w:val="231F20"/>
        </w:rPr>
        <w:t xml:space="preserve"> </w:t>
      </w:r>
      <w:r>
        <w:rPr>
          <w:color w:val="231F20"/>
        </w:rPr>
        <w:t>the</w:t>
      </w:r>
      <w:r w:rsidRPr="00547312">
        <w:rPr>
          <w:color w:val="231F20"/>
        </w:rPr>
        <w:t xml:space="preserve"> </w:t>
      </w:r>
      <w:r>
        <w:rPr>
          <w:color w:val="231F20"/>
        </w:rPr>
        <w:t>patient could have made it if the anesthesiologist had exercised better resuscitation and further that the anesthesiolo</w:t>
      </w:r>
      <w:r w:rsidR="000C1F43">
        <w:rPr>
          <w:color w:val="231F20"/>
        </w:rPr>
        <w:t>-</w:t>
      </w:r>
      <w:r>
        <w:rPr>
          <w:color w:val="231F20"/>
        </w:rPr>
        <w:t>gist determined</w:t>
      </w:r>
      <w:r w:rsidR="00B64C57">
        <w:rPr>
          <w:color w:val="231F20"/>
        </w:rPr>
        <w:t xml:space="preserve"> </w:t>
      </w:r>
      <w:r>
        <w:rPr>
          <w:color w:val="231F20"/>
        </w:rPr>
        <w:t>from</w:t>
      </w:r>
      <w:r w:rsidR="000C1F43">
        <w:rPr>
          <w:color w:val="231F20"/>
        </w:rPr>
        <w:t xml:space="preserve"> </w:t>
      </w:r>
      <w:r>
        <w:rPr>
          <w:color w:val="231F20"/>
        </w:rPr>
        <w:t>the beginning that the patient was not going to make it and purposely did not resuscitate him are not statements of opinion but rather are statements that are capable of being proven true or false. Rhetoric</w:t>
      </w:r>
      <w:r w:rsidR="000C1F43">
        <w:rPr>
          <w:color w:val="231F20"/>
        </w:rPr>
        <w:t xml:space="preserve">al hyperbole is not defamatory. </w:t>
      </w:r>
      <w:r>
        <w:rPr>
          <w:color w:val="231F20"/>
        </w:rPr>
        <w:t xml:space="preserve">Such statements are those </w:t>
      </w:r>
      <w:r w:rsidR="008433DB">
        <w:rPr>
          <w:color w:val="231F20"/>
        </w:rPr>
        <w:t>from</w:t>
      </w:r>
      <w:r w:rsidR="000C1F43">
        <w:rPr>
          <w:color w:val="231F20"/>
        </w:rPr>
        <w:t xml:space="preserve"> which</w:t>
      </w:r>
      <w:r w:rsidR="000C1F43" w:rsidRPr="00547312">
        <w:rPr>
          <w:color w:val="231F20"/>
        </w:rPr>
        <w:t xml:space="preserve"> </w:t>
      </w:r>
      <w:r w:rsidR="000C1F43">
        <w:rPr>
          <w:color w:val="231F20"/>
        </w:rPr>
        <w:t>no</w:t>
      </w:r>
      <w:r w:rsidR="000C1F43" w:rsidRPr="00547312">
        <w:rPr>
          <w:color w:val="231F20"/>
        </w:rPr>
        <w:t xml:space="preserve"> </w:t>
      </w:r>
      <w:r w:rsidR="000C1F43">
        <w:rPr>
          <w:color w:val="231F20"/>
        </w:rPr>
        <w:t>reasonable</w:t>
      </w:r>
      <w:r w:rsidR="000C1F43" w:rsidRPr="00547312">
        <w:rPr>
          <w:color w:val="231F20"/>
        </w:rPr>
        <w:t xml:space="preserve"> </w:t>
      </w:r>
      <w:r w:rsidR="000C1F43">
        <w:rPr>
          <w:color w:val="231F20"/>
        </w:rPr>
        <w:t>inference</w:t>
      </w:r>
      <w:r w:rsidR="000C1F43" w:rsidRPr="00547312">
        <w:rPr>
          <w:color w:val="231F20"/>
        </w:rPr>
        <w:t xml:space="preserve"> </w:t>
      </w:r>
      <w:r w:rsidR="000C1F43">
        <w:rPr>
          <w:color w:val="231F20"/>
        </w:rPr>
        <w:t>could be drawn if the indi</w:t>
      </w:r>
      <w:r>
        <w:rPr>
          <w:color w:val="231F20"/>
        </w:rPr>
        <w:t>vidual identified in the statements, as a matter of fact, engaged in the conduct described. Whether a statement is rhetorical hyperbole is a question of law for the</w:t>
      </w:r>
      <w:r w:rsidR="00B64C57">
        <w:rPr>
          <w:color w:val="231F20"/>
        </w:rPr>
        <w:t xml:space="preserve"> </w:t>
      </w:r>
      <w:r>
        <w:rPr>
          <w:color w:val="231F20"/>
        </w:rPr>
        <w:t>court.</w:t>
      </w:r>
    </w:p>
    <w:p w14:paraId="0767F824" w14:textId="77777777" w:rsidR="009910CD" w:rsidRDefault="00FC2690" w:rsidP="009825CC">
      <w:pPr>
        <w:spacing w:before="118" w:line="246" w:lineRule="exact"/>
        <w:ind w:left="720"/>
      </w:pPr>
      <w:r>
        <w:rPr>
          <w:color w:val="231F20"/>
        </w:rPr>
        <w:t>2013—</w:t>
      </w:r>
      <w:r>
        <w:rPr>
          <w:i/>
          <w:color w:val="231F20"/>
        </w:rPr>
        <w:t>Tharpe v.</w:t>
      </w:r>
      <w:r w:rsidR="00B64C57">
        <w:rPr>
          <w:i/>
          <w:color w:val="231F20"/>
        </w:rPr>
        <w:t xml:space="preserve"> </w:t>
      </w:r>
      <w:r>
        <w:rPr>
          <w:i/>
          <w:color w:val="231F20"/>
        </w:rPr>
        <w:t>Saunders</w:t>
      </w:r>
      <w:r>
        <w:rPr>
          <w:color w:val="231F20"/>
        </w:rPr>
        <w:t>, 285 Va.</w:t>
      </w:r>
      <w:r w:rsidR="00B64C57">
        <w:rPr>
          <w:color w:val="231F20"/>
        </w:rPr>
        <w:t xml:space="preserve"> </w:t>
      </w:r>
      <w:r>
        <w:rPr>
          <w:color w:val="231F20"/>
        </w:rPr>
        <w:t>476, 737 S.E.2d 890,</w:t>
      </w:r>
      <w:r w:rsidR="009825CC">
        <w:rPr>
          <w:color w:val="231F20"/>
        </w:rPr>
        <w:t xml:space="preserve"> </w:t>
      </w:r>
      <w:r>
        <w:rPr>
          <w:color w:val="231F20"/>
        </w:rPr>
        <w:t>(2013).</w:t>
      </w:r>
    </w:p>
    <w:p w14:paraId="3AA7253E" w14:textId="77777777" w:rsidR="009910CD" w:rsidRDefault="00FC2690" w:rsidP="00547312">
      <w:pPr>
        <w:pStyle w:val="BodyText"/>
        <w:spacing w:before="120" w:after="120"/>
        <w:ind w:left="1440"/>
        <w:jc w:val="both"/>
        <w:rPr>
          <w:color w:val="231F20"/>
        </w:rPr>
      </w:pPr>
      <w:r>
        <w:rPr>
          <w:color w:val="231F20"/>
        </w:rPr>
        <w:t>Saunders</w:t>
      </w:r>
      <w:r w:rsidRPr="00547312">
        <w:rPr>
          <w:color w:val="231F20"/>
        </w:rPr>
        <w:t xml:space="preserve"> </w:t>
      </w:r>
      <w:r>
        <w:rPr>
          <w:color w:val="231F20"/>
        </w:rPr>
        <w:t>is</w:t>
      </w:r>
      <w:r w:rsidRPr="00547312">
        <w:rPr>
          <w:color w:val="231F20"/>
        </w:rPr>
        <w:t xml:space="preserve"> </w:t>
      </w:r>
      <w:r>
        <w:rPr>
          <w:color w:val="231F20"/>
        </w:rPr>
        <w:t>alleged</w:t>
      </w:r>
      <w:r w:rsidRPr="00547312">
        <w:rPr>
          <w:color w:val="231F20"/>
        </w:rPr>
        <w:t xml:space="preserve"> </w:t>
      </w:r>
      <w:r>
        <w:rPr>
          <w:color w:val="231F20"/>
        </w:rPr>
        <w:t>to</w:t>
      </w:r>
      <w:r w:rsidRPr="00547312">
        <w:rPr>
          <w:color w:val="231F20"/>
        </w:rPr>
        <w:t xml:space="preserve"> </w:t>
      </w:r>
      <w:r>
        <w:rPr>
          <w:color w:val="231F20"/>
        </w:rPr>
        <w:t>have</w:t>
      </w:r>
      <w:r w:rsidRPr="00547312">
        <w:rPr>
          <w:color w:val="231F20"/>
        </w:rPr>
        <w:t xml:space="preserve"> </w:t>
      </w:r>
      <w:r>
        <w:rPr>
          <w:color w:val="231F20"/>
        </w:rPr>
        <w:t>made</w:t>
      </w:r>
      <w:r w:rsidRPr="00547312">
        <w:rPr>
          <w:color w:val="231F20"/>
        </w:rPr>
        <w:t xml:space="preserve"> </w:t>
      </w:r>
      <w:r>
        <w:rPr>
          <w:color w:val="231F20"/>
        </w:rPr>
        <w:t>a</w:t>
      </w:r>
      <w:r w:rsidRPr="00547312">
        <w:rPr>
          <w:color w:val="231F20"/>
        </w:rPr>
        <w:t xml:space="preserve"> </w:t>
      </w:r>
      <w:r>
        <w:rPr>
          <w:color w:val="231F20"/>
        </w:rPr>
        <w:t>statement</w:t>
      </w:r>
      <w:r w:rsidRPr="00547312">
        <w:rPr>
          <w:color w:val="231F20"/>
        </w:rPr>
        <w:t xml:space="preserve"> </w:t>
      </w:r>
      <w:r>
        <w:rPr>
          <w:color w:val="231F20"/>
        </w:rPr>
        <w:t>to</w:t>
      </w:r>
      <w:r w:rsidRPr="00547312">
        <w:rPr>
          <w:color w:val="231F20"/>
        </w:rPr>
        <w:t xml:space="preserve"> </w:t>
      </w:r>
      <w:r>
        <w:rPr>
          <w:color w:val="231F20"/>
        </w:rPr>
        <w:t>a</w:t>
      </w:r>
      <w:r w:rsidRPr="00547312">
        <w:rPr>
          <w:color w:val="231F20"/>
        </w:rPr>
        <w:t xml:space="preserve"> </w:t>
      </w:r>
      <w:r>
        <w:rPr>
          <w:color w:val="231F20"/>
        </w:rPr>
        <w:t>county</w:t>
      </w:r>
      <w:r w:rsidRPr="00547312">
        <w:rPr>
          <w:color w:val="231F20"/>
        </w:rPr>
        <w:t xml:space="preserve"> official </w:t>
      </w:r>
      <w:r>
        <w:rPr>
          <w:color w:val="231F20"/>
        </w:rPr>
        <w:t>that Tharpe told Saunders that Tharpe was going to screw this gover</w:t>
      </w:r>
      <w:r w:rsidR="00103F1A">
        <w:rPr>
          <w:color w:val="231F20"/>
        </w:rPr>
        <w:t>n</w:t>
      </w:r>
      <w:r>
        <w:rPr>
          <w:color w:val="231F20"/>
        </w:rPr>
        <w:t>mental agency just like he did Fort Picket. The insinuation in the statement is that Tharpe had somehow defrauded governmental authority. The elements of defamatio</w:t>
      </w:r>
      <w:r w:rsidR="00103F1A">
        <w:rPr>
          <w:color w:val="231F20"/>
        </w:rPr>
        <w:t>n are publication of an action</w:t>
      </w:r>
      <w:r>
        <w:rPr>
          <w:color w:val="231F20"/>
        </w:rPr>
        <w:t xml:space="preserve">able statement with the requisite intent. The statement must be both false and defamatory. If it is a pure statement of opinion then it is constitutionally protected. In this instance the trial court improperly concluded at </w:t>
      </w:r>
      <w:r>
        <w:rPr>
          <w:color w:val="231F20"/>
        </w:rPr>
        <w:lastRenderedPageBreak/>
        <w:t>the demurrer stage that this was simply an opinion. Regardless of the truth or falsity of the matters asserted in the statement attributed to Tharpe, Saunders’ statement is an actionable statement of</w:t>
      </w:r>
      <w:r w:rsidRPr="00547312">
        <w:rPr>
          <w:color w:val="231F20"/>
        </w:rPr>
        <w:t xml:space="preserve"> </w:t>
      </w:r>
      <w:r>
        <w:rPr>
          <w:color w:val="231F20"/>
        </w:rPr>
        <w:t>fact.</w:t>
      </w:r>
    </w:p>
    <w:p w14:paraId="394C7CC9" w14:textId="743BC375" w:rsidR="009910CD" w:rsidRDefault="00FC2690" w:rsidP="009825CC">
      <w:pPr>
        <w:spacing w:before="118"/>
        <w:ind w:left="720"/>
      </w:pPr>
      <w:r>
        <w:rPr>
          <w:color w:val="231F20"/>
        </w:rPr>
        <w:t>2012—</w:t>
      </w:r>
      <w:r>
        <w:rPr>
          <w:i/>
          <w:color w:val="231F20"/>
        </w:rPr>
        <w:t>Askew v.</w:t>
      </w:r>
      <w:r w:rsidR="00B64C57">
        <w:rPr>
          <w:i/>
          <w:color w:val="231F20"/>
        </w:rPr>
        <w:t xml:space="preserve"> </w:t>
      </w:r>
      <w:r>
        <w:rPr>
          <w:i/>
          <w:color w:val="231F20"/>
        </w:rPr>
        <w:t>Collins</w:t>
      </w:r>
      <w:r>
        <w:rPr>
          <w:color w:val="231F20"/>
        </w:rPr>
        <w:t>, 283 Va.</w:t>
      </w:r>
      <w:r w:rsidR="00B64C57">
        <w:rPr>
          <w:color w:val="231F20"/>
        </w:rPr>
        <w:t xml:space="preserve"> </w:t>
      </w:r>
      <w:r>
        <w:rPr>
          <w:color w:val="231F20"/>
        </w:rPr>
        <w:t>482, 722 S.E.2d</w:t>
      </w:r>
      <w:r w:rsidR="00B64C57">
        <w:rPr>
          <w:color w:val="231F20"/>
        </w:rPr>
        <w:t xml:space="preserve"> </w:t>
      </w:r>
      <w:r>
        <w:rPr>
          <w:color w:val="231F20"/>
        </w:rPr>
        <w:t>249.</w:t>
      </w:r>
    </w:p>
    <w:p w14:paraId="465C0CE0" w14:textId="77777777" w:rsidR="009910CD" w:rsidRPr="00547312" w:rsidRDefault="00FC2690" w:rsidP="00547312">
      <w:pPr>
        <w:pStyle w:val="BodyText"/>
        <w:spacing w:before="120" w:after="120"/>
        <w:ind w:left="1440"/>
        <w:jc w:val="both"/>
        <w:rPr>
          <w:color w:val="231F20"/>
        </w:rPr>
      </w:pPr>
      <w:r>
        <w:rPr>
          <w:color w:val="231F20"/>
        </w:rPr>
        <w:t>Private individual may recover c</w:t>
      </w:r>
      <w:r w:rsidR="00103F1A">
        <w:rPr>
          <w:color w:val="231F20"/>
        </w:rPr>
        <w:t>ompensatory damages for defama</w:t>
      </w:r>
      <w:r>
        <w:rPr>
          <w:color w:val="231F20"/>
        </w:rPr>
        <w:t>tion upon proof that publication was false and that defendant either knew it was false or believing it to be true, lacked reasonable grounds for such belief, or acted negligently in failing to ascertain the facts on which the publication was based. In this case, there was no challenge to the fact that the statement was defamatory per se. Damage award upheld.</w:t>
      </w:r>
    </w:p>
    <w:p w14:paraId="5466CFC1" w14:textId="77777777" w:rsidR="009910CD" w:rsidRDefault="00FC2690" w:rsidP="0094400D">
      <w:pPr>
        <w:spacing w:before="119"/>
        <w:ind w:left="720"/>
      </w:pPr>
      <w:r>
        <w:rPr>
          <w:color w:val="231F20"/>
        </w:rPr>
        <w:t>2009—</w:t>
      </w:r>
      <w:r>
        <w:rPr>
          <w:i/>
          <w:color w:val="231F20"/>
        </w:rPr>
        <w:t>Hyland v.</w:t>
      </w:r>
      <w:r w:rsidR="00B64C57">
        <w:rPr>
          <w:i/>
          <w:color w:val="231F20"/>
        </w:rPr>
        <w:t xml:space="preserve"> </w:t>
      </w:r>
      <w:r>
        <w:rPr>
          <w:i/>
          <w:color w:val="231F20"/>
        </w:rPr>
        <w:t>Raytheon Tech. Servs. Co.</w:t>
      </w:r>
      <w:r>
        <w:rPr>
          <w:color w:val="231F20"/>
        </w:rPr>
        <w:t>, 277 Va.</w:t>
      </w:r>
      <w:r w:rsidR="00B64C57">
        <w:rPr>
          <w:color w:val="231F20"/>
        </w:rPr>
        <w:t xml:space="preserve"> </w:t>
      </w:r>
      <w:r>
        <w:rPr>
          <w:color w:val="231F20"/>
        </w:rPr>
        <w:t>40, 670 S.E.2d</w:t>
      </w:r>
      <w:r w:rsidR="00B64C57">
        <w:rPr>
          <w:color w:val="231F20"/>
        </w:rPr>
        <w:t xml:space="preserve"> </w:t>
      </w:r>
      <w:r>
        <w:rPr>
          <w:color w:val="231F20"/>
        </w:rPr>
        <w:t>746.</w:t>
      </w:r>
    </w:p>
    <w:p w14:paraId="073D0BEA" w14:textId="77777777" w:rsidR="009910CD" w:rsidRPr="00547312" w:rsidRDefault="00FC2690" w:rsidP="00547312">
      <w:pPr>
        <w:pStyle w:val="BodyText"/>
        <w:spacing w:before="120" w:after="120"/>
        <w:ind w:left="1440"/>
        <w:jc w:val="both"/>
        <w:rPr>
          <w:color w:val="231F20"/>
        </w:rPr>
      </w:pPr>
      <w:r>
        <w:rPr>
          <w:color w:val="231F20"/>
        </w:rPr>
        <w:t>Trial court improperly granted s</w:t>
      </w:r>
      <w:r w:rsidR="00103F1A">
        <w:rPr>
          <w:color w:val="231F20"/>
        </w:rPr>
        <w:t>ummary judgment in this defama</w:t>
      </w:r>
      <w:r>
        <w:rPr>
          <w:color w:val="231F20"/>
        </w:rPr>
        <w:t>tion case. Trial court should not have looked at portion of statement in isolation but looked at the statement as a whole in terms of determining</w:t>
      </w:r>
      <w:r w:rsidRPr="00547312">
        <w:rPr>
          <w:color w:val="231F20"/>
        </w:rPr>
        <w:t xml:space="preserve"> </w:t>
      </w:r>
      <w:r>
        <w:rPr>
          <w:color w:val="231F20"/>
        </w:rPr>
        <w:t>truth</w:t>
      </w:r>
      <w:r w:rsidRPr="00547312">
        <w:rPr>
          <w:color w:val="231F20"/>
        </w:rPr>
        <w:t xml:space="preserve"> </w:t>
      </w:r>
      <w:r>
        <w:rPr>
          <w:color w:val="231F20"/>
        </w:rPr>
        <w:t>or</w:t>
      </w:r>
      <w:r w:rsidRPr="00547312">
        <w:rPr>
          <w:color w:val="231F20"/>
        </w:rPr>
        <w:t xml:space="preserve"> </w:t>
      </w:r>
      <w:r>
        <w:rPr>
          <w:color w:val="231F20"/>
        </w:rPr>
        <w:t>falsity.</w:t>
      </w:r>
      <w:r w:rsidRPr="00547312">
        <w:rPr>
          <w:color w:val="231F20"/>
        </w:rPr>
        <w:t xml:space="preserve"> </w:t>
      </w:r>
      <w:r>
        <w:rPr>
          <w:color w:val="231F20"/>
        </w:rPr>
        <w:t>It</w:t>
      </w:r>
      <w:r w:rsidRPr="00547312">
        <w:rPr>
          <w:color w:val="231F20"/>
        </w:rPr>
        <w:t xml:space="preserve"> </w:t>
      </w:r>
      <w:r>
        <w:rPr>
          <w:color w:val="231F20"/>
        </w:rPr>
        <w:t>is</w:t>
      </w:r>
      <w:r w:rsidRPr="00547312">
        <w:rPr>
          <w:color w:val="231F20"/>
        </w:rPr>
        <w:t xml:space="preserve"> </w:t>
      </w:r>
      <w:r>
        <w:rPr>
          <w:color w:val="231F20"/>
        </w:rPr>
        <w:t>up</w:t>
      </w:r>
      <w:r w:rsidRPr="00547312">
        <w:rPr>
          <w:color w:val="231F20"/>
        </w:rPr>
        <w:t xml:space="preserve"> </w:t>
      </w:r>
      <w:r>
        <w:rPr>
          <w:color w:val="231F20"/>
        </w:rPr>
        <w:t>to</w:t>
      </w:r>
      <w:r w:rsidRPr="00547312">
        <w:rPr>
          <w:color w:val="231F20"/>
        </w:rPr>
        <w:t xml:space="preserve"> </w:t>
      </w:r>
      <w:r>
        <w:rPr>
          <w:color w:val="231F20"/>
        </w:rPr>
        <w:t>the</w:t>
      </w:r>
      <w:r w:rsidRPr="00547312">
        <w:rPr>
          <w:color w:val="231F20"/>
        </w:rPr>
        <w:t xml:space="preserve"> </w:t>
      </w:r>
      <w:r>
        <w:rPr>
          <w:color w:val="231F20"/>
        </w:rPr>
        <w:t>court</w:t>
      </w:r>
      <w:r w:rsidRPr="00547312">
        <w:rPr>
          <w:color w:val="231F20"/>
        </w:rPr>
        <w:t xml:space="preserve"> </w:t>
      </w:r>
      <w:r>
        <w:rPr>
          <w:color w:val="231F20"/>
        </w:rPr>
        <w:t>to</w:t>
      </w:r>
      <w:r w:rsidRPr="00547312">
        <w:rPr>
          <w:color w:val="231F20"/>
        </w:rPr>
        <w:t xml:space="preserve"> </w:t>
      </w:r>
      <w:r>
        <w:rPr>
          <w:color w:val="231F20"/>
        </w:rPr>
        <w:t>determine</w:t>
      </w:r>
      <w:r w:rsidRPr="00547312">
        <w:rPr>
          <w:color w:val="231F20"/>
        </w:rPr>
        <w:t xml:space="preserve"> </w:t>
      </w:r>
      <w:r>
        <w:rPr>
          <w:color w:val="231F20"/>
        </w:rPr>
        <w:t>whether or not the statement is provably false. If it is, then it may be subject to a defamation claim that then will be decided by the jury as to the truth or falsity of the statement. If the trial court determines that the statement is not provably false, then it in effect becomes a</w:t>
      </w:r>
      <w:r w:rsidRPr="00547312">
        <w:rPr>
          <w:color w:val="231F20"/>
        </w:rPr>
        <w:t xml:space="preserve"> </w:t>
      </w:r>
      <w:r>
        <w:rPr>
          <w:color w:val="231F20"/>
        </w:rPr>
        <w:t xml:space="preserve">statement of opinion and therefore not subject to a defamation claim. Under common </w:t>
      </w:r>
      <w:r w:rsidRPr="00547312">
        <w:rPr>
          <w:color w:val="231F20"/>
        </w:rPr>
        <w:t xml:space="preserve">law, </w:t>
      </w:r>
      <w:r>
        <w:rPr>
          <w:color w:val="231F20"/>
        </w:rPr>
        <w:t>the plaintiff must show that the defendant published a false factual statement that concerns and harms the plaintiff or the plaintiffs’</w:t>
      </w:r>
      <w:r w:rsidRPr="00547312">
        <w:rPr>
          <w:color w:val="231F20"/>
        </w:rPr>
        <w:t xml:space="preserve"> </w:t>
      </w:r>
      <w:r>
        <w:rPr>
          <w:color w:val="231F20"/>
        </w:rPr>
        <w:t>reputation.</w:t>
      </w:r>
      <w:r w:rsidR="00B64C57" w:rsidRPr="00547312">
        <w:rPr>
          <w:color w:val="231F20"/>
        </w:rPr>
        <w:t xml:space="preserve"> </w:t>
      </w:r>
      <w:r>
        <w:rPr>
          <w:color w:val="231F20"/>
        </w:rPr>
        <w:t>The</w:t>
      </w:r>
      <w:r w:rsidR="00B64C57" w:rsidRPr="00547312">
        <w:rPr>
          <w:color w:val="231F20"/>
        </w:rPr>
        <w:t xml:space="preserve"> </w:t>
      </w:r>
      <w:r>
        <w:rPr>
          <w:color w:val="231F20"/>
        </w:rPr>
        <w:t>plaintiff</w:t>
      </w:r>
      <w:r w:rsidR="00B64C57" w:rsidRPr="00547312">
        <w:rPr>
          <w:color w:val="231F20"/>
        </w:rPr>
        <w:t xml:space="preserve"> </w:t>
      </w:r>
      <w:r>
        <w:rPr>
          <w:color w:val="231F20"/>
        </w:rPr>
        <w:t>must</w:t>
      </w:r>
      <w:r w:rsidR="00306E1B" w:rsidRPr="00547312">
        <w:rPr>
          <w:color w:val="231F20"/>
        </w:rPr>
        <w:t xml:space="preserve"> </w:t>
      </w:r>
      <w:r>
        <w:rPr>
          <w:color w:val="231F20"/>
        </w:rPr>
        <w:t>show</w:t>
      </w:r>
      <w:r w:rsidR="00B64C57" w:rsidRPr="00547312">
        <w:rPr>
          <w:color w:val="231F20"/>
        </w:rPr>
        <w:t xml:space="preserve"> </w:t>
      </w:r>
      <w:r>
        <w:rPr>
          <w:color w:val="231F20"/>
        </w:rPr>
        <w:t>that</w:t>
      </w:r>
      <w:r w:rsidR="00B64C57" w:rsidRPr="00547312">
        <w:rPr>
          <w:color w:val="231F20"/>
        </w:rPr>
        <w:t xml:space="preserve"> </w:t>
      </w:r>
      <w:r>
        <w:rPr>
          <w:color w:val="231F20"/>
        </w:rPr>
        <w:t>the</w:t>
      </w:r>
      <w:r w:rsidRPr="00547312">
        <w:rPr>
          <w:color w:val="231F20"/>
        </w:rPr>
        <w:t xml:space="preserve"> </w:t>
      </w:r>
      <w:r>
        <w:rPr>
          <w:color w:val="231F20"/>
        </w:rPr>
        <w:t>defendant</w:t>
      </w:r>
      <w:r w:rsidR="00BE0B71">
        <w:rPr>
          <w:color w:val="231F20"/>
        </w:rPr>
        <w:t xml:space="preserve"> </w:t>
      </w:r>
      <w:r>
        <w:rPr>
          <w:color w:val="231F20"/>
        </w:rPr>
        <w:t>knew the statement was false, or believing the statement was true, lacked a reasonable basis for such belief, or acted negligently in failing to determine the</w:t>
      </w:r>
      <w:r w:rsidR="00B64C57">
        <w:rPr>
          <w:color w:val="231F20"/>
        </w:rPr>
        <w:t xml:space="preserve"> </w:t>
      </w:r>
      <w:r>
        <w:rPr>
          <w:color w:val="231F20"/>
        </w:rPr>
        <w:t>facts.</w:t>
      </w:r>
    </w:p>
    <w:p w14:paraId="4BFEB998" w14:textId="77777777" w:rsidR="009910CD" w:rsidRDefault="00FC2690" w:rsidP="00AF062B">
      <w:pPr>
        <w:pStyle w:val="Heading4"/>
        <w:tabs>
          <w:tab w:val="left" w:pos="2041"/>
        </w:tabs>
        <w:ind w:left="1170" w:hanging="450"/>
      </w:pPr>
      <w:r>
        <w:rPr>
          <w:color w:val="231F20"/>
        </w:rPr>
        <w:t>[8]</w:t>
      </w:r>
      <w:r>
        <w:rPr>
          <w:color w:val="231F20"/>
        </w:rPr>
        <w:tab/>
        <w:t>Legal</w:t>
      </w:r>
      <w:r>
        <w:rPr>
          <w:color w:val="231F20"/>
          <w:spacing w:val="10"/>
        </w:rPr>
        <w:t xml:space="preserve"> </w:t>
      </w:r>
      <w:r>
        <w:rPr>
          <w:color w:val="231F20"/>
        </w:rPr>
        <w:t>Proceedings</w:t>
      </w:r>
    </w:p>
    <w:p w14:paraId="70FBC8D0" w14:textId="1FFADFFF" w:rsidR="00512ED8" w:rsidRDefault="00512ED8" w:rsidP="00512ED8">
      <w:pPr>
        <w:spacing w:before="135"/>
        <w:ind w:left="720"/>
      </w:pPr>
      <w:r>
        <w:rPr>
          <w:color w:val="231F20"/>
        </w:rPr>
        <w:t>2021—</w:t>
      </w:r>
      <w:r>
        <w:rPr>
          <w:i/>
          <w:color w:val="231F20"/>
        </w:rPr>
        <w:t xml:space="preserve">Givago Growth, LLC </w:t>
      </w:r>
      <w:r>
        <w:rPr>
          <w:i/>
          <w:color w:val="231F20"/>
          <w:spacing w:val="-9"/>
        </w:rPr>
        <w:t xml:space="preserve">v. </w:t>
      </w:r>
      <w:r>
        <w:rPr>
          <w:i/>
          <w:color w:val="231F20"/>
        </w:rPr>
        <w:t>iTech AG, LLC</w:t>
      </w:r>
      <w:r>
        <w:rPr>
          <w:color w:val="231F20"/>
        </w:rPr>
        <w:t xml:space="preserve">, 300 </w:t>
      </w:r>
      <w:r>
        <w:rPr>
          <w:color w:val="231F20"/>
          <w:spacing w:val="-9"/>
        </w:rPr>
        <w:t xml:space="preserve">Va. </w:t>
      </w:r>
      <w:r>
        <w:rPr>
          <w:color w:val="231F20"/>
          <w:spacing w:val="-3"/>
        </w:rPr>
        <w:t xml:space="preserve">260, </w:t>
      </w:r>
      <w:r>
        <w:rPr>
          <w:color w:val="231F20"/>
        </w:rPr>
        <w:t>863 S.E.2d</w:t>
      </w:r>
      <w:r>
        <w:rPr>
          <w:color w:val="231F20"/>
          <w:spacing w:val="52"/>
        </w:rPr>
        <w:t xml:space="preserve"> </w:t>
      </w:r>
      <w:r>
        <w:rPr>
          <w:color w:val="231F20"/>
        </w:rPr>
        <w:t>684.</w:t>
      </w:r>
    </w:p>
    <w:p w14:paraId="0653B62C" w14:textId="392C94C6" w:rsidR="00512ED8" w:rsidRPr="00547312" w:rsidRDefault="00512ED8" w:rsidP="00512ED8">
      <w:pPr>
        <w:pStyle w:val="BodyText"/>
        <w:spacing w:before="120" w:after="120"/>
        <w:ind w:left="1440"/>
        <w:jc w:val="both"/>
        <w:rPr>
          <w:color w:val="231F20"/>
        </w:rPr>
      </w:pPr>
      <w:r>
        <w:rPr>
          <w:color w:val="231F20"/>
        </w:rPr>
        <w:t xml:space="preserve">Absolute privilege applies to filing of </w:t>
      </w:r>
      <w:r w:rsidRPr="00AF062B">
        <w:rPr>
          <w:i/>
          <w:iCs/>
          <w:color w:val="231F20"/>
        </w:rPr>
        <w:t>lis pendens</w:t>
      </w:r>
      <w:r>
        <w:rPr>
          <w:color w:val="231F20"/>
        </w:rPr>
        <w:t xml:space="preserve"> in regards to a defamation action however it does not apply to other tort actions such as abuse of process, tortious interference or conspiracy.</w:t>
      </w:r>
    </w:p>
    <w:p w14:paraId="0622CECB" w14:textId="77777777" w:rsidR="009910CD" w:rsidRDefault="00FC2690" w:rsidP="0094400D">
      <w:pPr>
        <w:spacing w:before="135"/>
        <w:ind w:left="720"/>
      </w:pPr>
      <w:r>
        <w:rPr>
          <w:color w:val="231F20"/>
        </w:rPr>
        <w:t>2012—</w:t>
      </w:r>
      <w:r>
        <w:rPr>
          <w:i/>
          <w:color w:val="231F20"/>
        </w:rPr>
        <w:t xml:space="preserve">Mansfield </w:t>
      </w:r>
      <w:r>
        <w:rPr>
          <w:i/>
          <w:color w:val="231F20"/>
          <w:spacing w:val="-9"/>
        </w:rPr>
        <w:t>v.</w:t>
      </w:r>
      <w:r w:rsidR="00B64C57">
        <w:rPr>
          <w:i/>
          <w:color w:val="231F20"/>
          <w:spacing w:val="-9"/>
        </w:rPr>
        <w:t xml:space="preserve"> </w:t>
      </w:r>
      <w:r>
        <w:rPr>
          <w:i/>
          <w:color w:val="231F20"/>
        </w:rPr>
        <w:t>Bernabei</w:t>
      </w:r>
      <w:r>
        <w:rPr>
          <w:color w:val="231F20"/>
        </w:rPr>
        <w:t xml:space="preserve">, 284 </w:t>
      </w:r>
      <w:r>
        <w:rPr>
          <w:color w:val="231F20"/>
          <w:spacing w:val="-9"/>
        </w:rPr>
        <w:t>Va.</w:t>
      </w:r>
      <w:r w:rsidR="00B64C57">
        <w:rPr>
          <w:color w:val="231F20"/>
          <w:spacing w:val="-9"/>
        </w:rPr>
        <w:t xml:space="preserve"> </w:t>
      </w:r>
      <w:r>
        <w:rPr>
          <w:color w:val="231F20"/>
          <w:spacing w:val="-3"/>
        </w:rPr>
        <w:t xml:space="preserve">116, </w:t>
      </w:r>
      <w:r>
        <w:rPr>
          <w:color w:val="231F20"/>
        </w:rPr>
        <w:t>727 S.E.2d</w:t>
      </w:r>
      <w:r>
        <w:rPr>
          <w:color w:val="231F20"/>
          <w:spacing w:val="52"/>
        </w:rPr>
        <w:t xml:space="preserve"> </w:t>
      </w:r>
      <w:r>
        <w:rPr>
          <w:color w:val="231F20"/>
        </w:rPr>
        <w:t>69.</w:t>
      </w:r>
    </w:p>
    <w:p w14:paraId="0063FBAB" w14:textId="77777777" w:rsidR="009910CD" w:rsidRPr="00547312" w:rsidRDefault="00FC2690" w:rsidP="00547312">
      <w:pPr>
        <w:pStyle w:val="BodyText"/>
        <w:spacing w:before="120" w:after="120"/>
        <w:ind w:left="1440"/>
        <w:jc w:val="both"/>
        <w:rPr>
          <w:color w:val="231F20"/>
        </w:rPr>
      </w:pPr>
      <w:r>
        <w:rPr>
          <w:color w:val="231F20"/>
        </w:rPr>
        <w:t>Distribution</w:t>
      </w:r>
      <w:r w:rsidRPr="00547312">
        <w:rPr>
          <w:color w:val="231F20"/>
        </w:rPr>
        <w:t xml:space="preserve"> </w:t>
      </w:r>
      <w:r>
        <w:rPr>
          <w:color w:val="231F20"/>
        </w:rPr>
        <w:t>to</w:t>
      </w:r>
      <w:r w:rsidRPr="00547312">
        <w:rPr>
          <w:color w:val="231F20"/>
        </w:rPr>
        <w:t xml:space="preserve"> </w:t>
      </w:r>
      <w:r>
        <w:rPr>
          <w:color w:val="231F20"/>
        </w:rPr>
        <w:t>interested</w:t>
      </w:r>
      <w:r w:rsidRPr="00547312">
        <w:rPr>
          <w:color w:val="231F20"/>
        </w:rPr>
        <w:t xml:space="preserve"> </w:t>
      </w:r>
      <w:r>
        <w:rPr>
          <w:color w:val="231F20"/>
        </w:rPr>
        <w:t>persons</w:t>
      </w:r>
      <w:r w:rsidRPr="00547312">
        <w:rPr>
          <w:color w:val="231F20"/>
        </w:rPr>
        <w:t xml:space="preserve"> </w:t>
      </w:r>
      <w:r>
        <w:rPr>
          <w:color w:val="231F20"/>
        </w:rPr>
        <w:t>of</w:t>
      </w:r>
      <w:r w:rsidRPr="00547312">
        <w:rPr>
          <w:color w:val="231F20"/>
        </w:rPr>
        <w:t xml:space="preserve"> </w:t>
      </w:r>
      <w:r>
        <w:rPr>
          <w:color w:val="231F20"/>
        </w:rPr>
        <w:t>draft</w:t>
      </w:r>
      <w:r w:rsidRPr="00547312">
        <w:rPr>
          <w:color w:val="231F20"/>
        </w:rPr>
        <w:t xml:space="preserve"> </w:t>
      </w:r>
      <w:r>
        <w:rPr>
          <w:color w:val="231F20"/>
        </w:rPr>
        <w:t>complaint</w:t>
      </w:r>
      <w:r w:rsidRPr="00547312">
        <w:rPr>
          <w:color w:val="231F20"/>
        </w:rPr>
        <w:t xml:space="preserve"> </w:t>
      </w:r>
      <w:r>
        <w:rPr>
          <w:color w:val="231F20"/>
        </w:rPr>
        <w:t>shortly</w:t>
      </w:r>
      <w:r w:rsidRPr="00547312">
        <w:rPr>
          <w:color w:val="231F20"/>
        </w:rPr>
        <w:t xml:space="preserve"> </w:t>
      </w:r>
      <w:r>
        <w:rPr>
          <w:color w:val="231F20"/>
        </w:rPr>
        <w:t>before</w:t>
      </w:r>
      <w:r w:rsidRPr="00547312">
        <w:rPr>
          <w:color w:val="231F20"/>
        </w:rPr>
        <w:t xml:space="preserve"> </w:t>
      </w:r>
      <w:r>
        <w:rPr>
          <w:color w:val="231F20"/>
        </w:rPr>
        <w:t>it was filed is subject to absolute privilege. Demurrer properly sustained.</w:t>
      </w:r>
    </w:p>
    <w:p w14:paraId="16BA9242" w14:textId="77777777" w:rsidR="009910CD" w:rsidRDefault="00FC2690" w:rsidP="00AF062B">
      <w:pPr>
        <w:pStyle w:val="Heading4"/>
        <w:tabs>
          <w:tab w:val="left" w:pos="2151"/>
        </w:tabs>
        <w:ind w:left="1170" w:hanging="450"/>
      </w:pPr>
      <w:r>
        <w:rPr>
          <w:color w:val="231F20"/>
        </w:rPr>
        <w:t>[10]</w:t>
      </w:r>
      <w:r>
        <w:rPr>
          <w:color w:val="231F20"/>
        </w:rPr>
        <w:tab/>
        <w:t>Media</w:t>
      </w:r>
    </w:p>
    <w:p w14:paraId="0E89BE3B" w14:textId="2F91AD29" w:rsidR="009910CD" w:rsidRDefault="00FC2690" w:rsidP="0094400D">
      <w:pPr>
        <w:spacing w:before="136"/>
        <w:ind w:left="720"/>
      </w:pPr>
      <w:r>
        <w:rPr>
          <w:color w:val="231F20"/>
        </w:rPr>
        <w:t>2014—</w:t>
      </w:r>
      <w:r>
        <w:rPr>
          <w:i/>
          <w:color w:val="231F20"/>
        </w:rPr>
        <w:t>Webb v.</w:t>
      </w:r>
      <w:r w:rsidR="00B64C57">
        <w:rPr>
          <w:i/>
          <w:color w:val="231F20"/>
        </w:rPr>
        <w:t xml:space="preserve"> </w:t>
      </w:r>
      <w:r>
        <w:rPr>
          <w:i/>
          <w:color w:val="231F20"/>
        </w:rPr>
        <w:t>Virginian-Pilot Media</w:t>
      </w:r>
      <w:r>
        <w:rPr>
          <w:color w:val="231F20"/>
        </w:rPr>
        <w:t>, 287 Va.</w:t>
      </w:r>
      <w:r w:rsidR="00B64C57">
        <w:rPr>
          <w:color w:val="231F20"/>
        </w:rPr>
        <w:t xml:space="preserve"> </w:t>
      </w:r>
      <w:r>
        <w:rPr>
          <w:color w:val="231F20"/>
        </w:rPr>
        <w:t>84, 752 S.E.2d</w:t>
      </w:r>
      <w:r w:rsidR="00B64C57">
        <w:rPr>
          <w:color w:val="231F20"/>
        </w:rPr>
        <w:t xml:space="preserve"> </w:t>
      </w:r>
      <w:r>
        <w:rPr>
          <w:color w:val="231F20"/>
        </w:rPr>
        <w:t>808.</w:t>
      </w:r>
    </w:p>
    <w:p w14:paraId="55538D85" w14:textId="77777777" w:rsidR="009910CD" w:rsidRPr="00547312" w:rsidRDefault="00FC2690" w:rsidP="00547312">
      <w:pPr>
        <w:pStyle w:val="BodyText"/>
        <w:spacing w:before="120" w:after="120"/>
        <w:ind w:left="1440"/>
        <w:jc w:val="both"/>
        <w:rPr>
          <w:color w:val="231F20"/>
        </w:rPr>
      </w:pPr>
      <w:r>
        <w:rPr>
          <w:color w:val="231F20"/>
        </w:rPr>
        <w:t>School administrator sues newspaper alleging that newspaper story indicated that he improperly exerted pull to get cushy treatment for his son. The trial court properly ruled that the story cannot be fairly read as a report that the father pulled strings to get his son preferential treatment.</w:t>
      </w:r>
    </w:p>
    <w:p w14:paraId="7B3DAC01" w14:textId="5DCF2EB1" w:rsidR="009910CD" w:rsidRDefault="00FC2690" w:rsidP="00AF062B">
      <w:pPr>
        <w:pStyle w:val="Heading4"/>
        <w:tabs>
          <w:tab w:val="left" w:pos="2151"/>
        </w:tabs>
        <w:ind w:left="1170" w:hanging="450"/>
      </w:pPr>
      <w:r>
        <w:rPr>
          <w:color w:val="231F20"/>
        </w:rPr>
        <w:t>[14]</w:t>
      </w:r>
      <w:r>
        <w:rPr>
          <w:color w:val="231F20"/>
        </w:rPr>
        <w:tab/>
        <w:t>Slander Per</w:t>
      </w:r>
      <w:r>
        <w:rPr>
          <w:color w:val="231F20"/>
          <w:spacing w:val="25"/>
        </w:rPr>
        <w:t xml:space="preserve"> </w:t>
      </w:r>
      <w:r>
        <w:rPr>
          <w:color w:val="231F20"/>
        </w:rPr>
        <w:t>Se</w:t>
      </w:r>
    </w:p>
    <w:p w14:paraId="07FC9AA0" w14:textId="77777777" w:rsidR="009910CD" w:rsidRDefault="00FC2690" w:rsidP="0094400D">
      <w:pPr>
        <w:spacing w:before="135"/>
        <w:ind w:left="720"/>
      </w:pPr>
      <w:r>
        <w:rPr>
          <w:color w:val="231F20"/>
        </w:rPr>
        <w:t>2011—</w:t>
      </w:r>
      <w:r>
        <w:rPr>
          <w:i/>
          <w:color w:val="231F20"/>
        </w:rPr>
        <w:t xml:space="preserve">Lewis </w:t>
      </w:r>
      <w:r>
        <w:rPr>
          <w:i/>
          <w:color w:val="231F20"/>
          <w:spacing w:val="-9"/>
        </w:rPr>
        <w:t>v.</w:t>
      </w:r>
      <w:r w:rsidR="00B64C57">
        <w:rPr>
          <w:i/>
          <w:color w:val="231F20"/>
          <w:spacing w:val="-9"/>
        </w:rPr>
        <w:t xml:space="preserve"> </w:t>
      </w:r>
      <w:r>
        <w:rPr>
          <w:i/>
          <w:color w:val="231F20"/>
        </w:rPr>
        <w:t>Kei</w:t>
      </w:r>
      <w:r>
        <w:rPr>
          <w:color w:val="231F20"/>
        </w:rPr>
        <w:t xml:space="preserve">, 281 </w:t>
      </w:r>
      <w:r>
        <w:rPr>
          <w:color w:val="231F20"/>
          <w:spacing w:val="-9"/>
        </w:rPr>
        <w:t>Va.</w:t>
      </w:r>
      <w:r w:rsidR="00B64C57">
        <w:rPr>
          <w:color w:val="231F20"/>
          <w:spacing w:val="-9"/>
        </w:rPr>
        <w:t xml:space="preserve"> </w:t>
      </w:r>
      <w:r>
        <w:rPr>
          <w:color w:val="231F20"/>
        </w:rPr>
        <w:t>715, 708 S.E.2d</w:t>
      </w:r>
      <w:r>
        <w:rPr>
          <w:color w:val="231F20"/>
          <w:spacing w:val="51"/>
        </w:rPr>
        <w:t xml:space="preserve"> </w:t>
      </w:r>
      <w:r>
        <w:rPr>
          <w:color w:val="231F20"/>
        </w:rPr>
        <w:t>884.</w:t>
      </w:r>
    </w:p>
    <w:p w14:paraId="00C4B423" w14:textId="77777777" w:rsidR="009910CD" w:rsidRDefault="00FC2690" w:rsidP="00547312">
      <w:pPr>
        <w:pStyle w:val="BodyText"/>
        <w:spacing w:before="120" w:after="120"/>
        <w:ind w:left="1440"/>
        <w:jc w:val="both"/>
        <w:rPr>
          <w:color w:val="231F20"/>
        </w:rPr>
      </w:pPr>
      <w:r>
        <w:rPr>
          <w:color w:val="231F20"/>
        </w:rPr>
        <w:t>Police officer obtained a warrant for arrest of plaintiff for attempted abduction of a 10-year-old child based upon citizen’s complaint which ult</w:t>
      </w:r>
      <w:r w:rsidR="009F1ECF">
        <w:rPr>
          <w:color w:val="231F20"/>
        </w:rPr>
        <w:t xml:space="preserve">imately proved to be unfounded.  </w:t>
      </w:r>
      <w:r>
        <w:rPr>
          <w:color w:val="231F20"/>
        </w:rPr>
        <w:t>Based on those facts, the officer had probable cause to seek the arrest warrant and therefore demurrer to malicious prosecution claim was properly granted. Likewise, the finding of probable cause defeats the claim for false imprisonment. The police officer, however, did make several false statements about the plaintiff relating to the facts of the matter thereby accusing him of the commission of a criminal offense constituting defamation per se.</w:t>
      </w:r>
    </w:p>
    <w:p w14:paraId="153F452F" w14:textId="1DD3C0EB" w:rsidR="009910CD" w:rsidRPr="00ED1338" w:rsidRDefault="00FC2690" w:rsidP="00ED1338">
      <w:pPr>
        <w:pStyle w:val="Heading4"/>
        <w:tabs>
          <w:tab w:val="left" w:pos="720"/>
        </w:tabs>
        <w:spacing w:before="0" w:line="241" w:lineRule="exact"/>
        <w:ind w:left="0"/>
        <w:rPr>
          <w:color w:val="231F20"/>
        </w:rPr>
      </w:pPr>
      <w:r>
        <w:rPr>
          <w:color w:val="231F20"/>
        </w:rPr>
        <w:lastRenderedPageBreak/>
        <w:t>§</w:t>
      </w:r>
      <w:r w:rsidRPr="00ED1338">
        <w:rPr>
          <w:color w:val="231F20"/>
        </w:rPr>
        <w:t xml:space="preserve"> </w:t>
      </w:r>
      <w:r>
        <w:rPr>
          <w:color w:val="231F20"/>
        </w:rPr>
        <w:t>15.07</w:t>
      </w:r>
      <w:r>
        <w:rPr>
          <w:color w:val="231F20"/>
        </w:rPr>
        <w:tab/>
        <w:t>False</w:t>
      </w:r>
      <w:r w:rsidRPr="00ED1338">
        <w:rPr>
          <w:color w:val="231F20"/>
        </w:rPr>
        <w:t xml:space="preserve"> </w:t>
      </w:r>
      <w:r>
        <w:rPr>
          <w:color w:val="231F20"/>
        </w:rPr>
        <w:t>Imprisonment</w:t>
      </w:r>
    </w:p>
    <w:p w14:paraId="374DE4D5" w14:textId="77777777" w:rsidR="009910CD" w:rsidRDefault="00FC2690" w:rsidP="00AF062B">
      <w:pPr>
        <w:tabs>
          <w:tab w:val="left" w:pos="2041"/>
        </w:tabs>
        <w:spacing w:before="86"/>
        <w:ind w:left="1170" w:hanging="450"/>
        <w:rPr>
          <w:b/>
          <w:sz w:val="24"/>
        </w:rPr>
      </w:pPr>
      <w:r>
        <w:rPr>
          <w:b/>
          <w:color w:val="231F20"/>
        </w:rPr>
        <w:t>[3]</w:t>
      </w:r>
      <w:r>
        <w:rPr>
          <w:b/>
          <w:color w:val="231F20"/>
        </w:rPr>
        <w:tab/>
        <w:t>Definition</w:t>
      </w:r>
    </w:p>
    <w:p w14:paraId="4AEFE4F8" w14:textId="77777777" w:rsidR="000978DA" w:rsidRDefault="000978DA" w:rsidP="000978DA">
      <w:pPr>
        <w:spacing w:before="135"/>
        <w:ind w:left="720"/>
      </w:pPr>
      <w:r w:rsidRPr="003C6AE5">
        <w:rPr>
          <w:color w:val="231F20"/>
        </w:rPr>
        <w:t>2021—</w:t>
      </w:r>
      <w:r w:rsidRPr="003C6AE5">
        <w:rPr>
          <w:i/>
          <w:color w:val="231F20"/>
        </w:rPr>
        <w:t xml:space="preserve">Dill </w:t>
      </w:r>
      <w:r w:rsidRPr="003C6AE5">
        <w:rPr>
          <w:i/>
          <w:color w:val="231F20"/>
          <w:spacing w:val="-9"/>
        </w:rPr>
        <w:t xml:space="preserve">v. </w:t>
      </w:r>
      <w:r w:rsidRPr="003C6AE5">
        <w:rPr>
          <w:i/>
          <w:color w:val="231F20"/>
        </w:rPr>
        <w:t>Kroger Limited Partnership</w:t>
      </w:r>
      <w:r w:rsidRPr="003C6AE5">
        <w:rPr>
          <w:color w:val="231F20"/>
        </w:rPr>
        <w:t xml:space="preserve">, 300 </w:t>
      </w:r>
      <w:r w:rsidRPr="003C6AE5">
        <w:rPr>
          <w:color w:val="231F20"/>
          <w:spacing w:val="-9"/>
        </w:rPr>
        <w:t xml:space="preserve">Va. </w:t>
      </w:r>
      <w:r w:rsidRPr="003C6AE5">
        <w:rPr>
          <w:color w:val="231F20"/>
        </w:rPr>
        <w:t>99, 860 S.E.2d</w:t>
      </w:r>
      <w:r w:rsidRPr="003C6AE5">
        <w:rPr>
          <w:color w:val="231F20"/>
          <w:spacing w:val="51"/>
        </w:rPr>
        <w:t xml:space="preserve"> </w:t>
      </w:r>
      <w:r w:rsidRPr="003C6AE5">
        <w:rPr>
          <w:color w:val="231F20"/>
        </w:rPr>
        <w:t>372.</w:t>
      </w:r>
    </w:p>
    <w:p w14:paraId="702FE7E4" w14:textId="1C70B34F" w:rsidR="000978DA" w:rsidRPr="003C6AE5" w:rsidRDefault="0053154D" w:rsidP="000978DA">
      <w:pPr>
        <w:pStyle w:val="BodyText"/>
        <w:spacing w:before="120" w:after="120"/>
        <w:ind w:left="1440"/>
        <w:jc w:val="both"/>
        <w:rPr>
          <w:color w:val="231F20"/>
        </w:rPr>
      </w:pPr>
      <w:r>
        <w:rPr>
          <w:color w:val="231F20"/>
        </w:rPr>
        <w:t>False imprisonment is restraint of one’s liberty without any sufficient cause.  It may be simply illegal detention or it may be unlawful execution of lawful persons.  No need to prove malice or lack of probable cause</w:t>
      </w:r>
      <w:r w:rsidR="000978DA">
        <w:rPr>
          <w:color w:val="231F20"/>
        </w:rPr>
        <w:t>.</w:t>
      </w:r>
    </w:p>
    <w:p w14:paraId="42508CAB" w14:textId="77777777" w:rsidR="0036565B" w:rsidRDefault="0036565B" w:rsidP="0036565B">
      <w:pPr>
        <w:spacing w:before="135"/>
        <w:ind w:left="720"/>
      </w:pPr>
      <w:r>
        <w:rPr>
          <w:color w:val="231F20"/>
        </w:rPr>
        <w:t>2011—</w:t>
      </w:r>
      <w:r>
        <w:rPr>
          <w:i/>
          <w:color w:val="231F20"/>
        </w:rPr>
        <w:t xml:space="preserve">Lewis </w:t>
      </w:r>
      <w:r>
        <w:rPr>
          <w:i/>
          <w:color w:val="231F20"/>
          <w:spacing w:val="-9"/>
        </w:rPr>
        <w:t xml:space="preserve">v. </w:t>
      </w:r>
      <w:r>
        <w:rPr>
          <w:i/>
          <w:color w:val="231F20"/>
        </w:rPr>
        <w:t>Kei</w:t>
      </w:r>
      <w:r>
        <w:rPr>
          <w:color w:val="231F20"/>
        </w:rPr>
        <w:t xml:space="preserve">, 281 </w:t>
      </w:r>
      <w:r>
        <w:rPr>
          <w:color w:val="231F20"/>
          <w:spacing w:val="-9"/>
        </w:rPr>
        <w:t xml:space="preserve">Va. </w:t>
      </w:r>
      <w:r>
        <w:rPr>
          <w:color w:val="231F20"/>
        </w:rPr>
        <w:t>715, 708 S.E.2d</w:t>
      </w:r>
      <w:r>
        <w:rPr>
          <w:color w:val="231F20"/>
          <w:spacing w:val="51"/>
        </w:rPr>
        <w:t xml:space="preserve"> </w:t>
      </w:r>
      <w:r>
        <w:rPr>
          <w:color w:val="231F20"/>
        </w:rPr>
        <w:t>884.</w:t>
      </w:r>
    </w:p>
    <w:p w14:paraId="273150A4" w14:textId="77777777" w:rsidR="0036565B" w:rsidRPr="00547312" w:rsidRDefault="0036565B" w:rsidP="0036565B">
      <w:pPr>
        <w:pStyle w:val="BodyText"/>
        <w:spacing w:before="120" w:after="120"/>
        <w:ind w:left="1440"/>
        <w:jc w:val="both"/>
        <w:rPr>
          <w:color w:val="231F20"/>
        </w:rPr>
      </w:pPr>
      <w:r>
        <w:rPr>
          <w:color w:val="231F20"/>
        </w:rPr>
        <w:t>Police officer obtained a warrant for arrest of plaintiff for attempted abduction of a 10-year-old child based upon citizen’s complaint which ultimately proved to be unfounded.  Based on those facts, the officer had probable cause to seek the arrest warrant and therefore demurrer to malicious prosecution claim was properly granted. Likewise, the finding of probable cause defeats the claim for false imprisonment. The police officer, however, did make several false statements about the plaintiff relating to the facts of the matter thereby accusing him of the commission of a criminal offense constituting defamation per se.</w:t>
      </w:r>
    </w:p>
    <w:p w14:paraId="29EF7939"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15.08</w:t>
      </w:r>
      <w:r>
        <w:rPr>
          <w:color w:val="231F20"/>
        </w:rPr>
        <w:tab/>
        <w:t>Fraud and</w:t>
      </w:r>
      <w:r w:rsidRPr="00ED1338">
        <w:rPr>
          <w:color w:val="231F20"/>
        </w:rPr>
        <w:t xml:space="preserve"> </w:t>
      </w:r>
      <w:r>
        <w:rPr>
          <w:color w:val="231F20"/>
        </w:rPr>
        <w:t>Misrepresentation</w:t>
      </w:r>
    </w:p>
    <w:p w14:paraId="630A4AC9" w14:textId="77777777" w:rsidR="009910CD" w:rsidRDefault="00FC2690" w:rsidP="00AF062B">
      <w:pPr>
        <w:tabs>
          <w:tab w:val="left" w:pos="2121"/>
        </w:tabs>
        <w:spacing w:before="95"/>
        <w:ind w:left="1170" w:hanging="450"/>
        <w:rPr>
          <w:b/>
        </w:rPr>
      </w:pPr>
      <w:r>
        <w:rPr>
          <w:b/>
          <w:color w:val="231F20"/>
        </w:rPr>
        <w:t>[1]</w:t>
      </w:r>
      <w:r>
        <w:rPr>
          <w:b/>
          <w:color w:val="231F20"/>
        </w:rPr>
        <w:tab/>
        <w:t>Actual</w:t>
      </w:r>
    </w:p>
    <w:p w14:paraId="2CA6D575" w14:textId="4FC1383A" w:rsidR="00EF7A8A" w:rsidRDefault="00EF7A8A" w:rsidP="00EF7A8A">
      <w:pPr>
        <w:spacing w:before="141" w:line="250" w:lineRule="exact"/>
        <w:ind w:left="720"/>
        <w:rPr>
          <w:iCs/>
          <w:color w:val="231F20"/>
          <w:sz w:val="21"/>
          <w:szCs w:val="21"/>
        </w:rPr>
      </w:pPr>
      <w:r>
        <w:rPr>
          <w:iCs/>
          <w:color w:val="231F20"/>
          <w:sz w:val="21"/>
          <w:szCs w:val="21"/>
        </w:rPr>
        <w:t>2023</w:t>
      </w:r>
      <w:r w:rsidRPr="009F1ECF">
        <w:rPr>
          <w:color w:val="231F20"/>
          <w:sz w:val="21"/>
          <w:szCs w:val="21"/>
        </w:rPr>
        <w:t>—</w:t>
      </w:r>
      <w:r>
        <w:rPr>
          <w:i/>
          <w:color w:val="231F20"/>
          <w:sz w:val="21"/>
          <w:szCs w:val="21"/>
        </w:rPr>
        <w:t>Nestler v. Scarabelli</w:t>
      </w:r>
      <w:r w:rsidRPr="009F1ECF">
        <w:rPr>
          <w:color w:val="231F20"/>
          <w:sz w:val="21"/>
          <w:szCs w:val="21"/>
        </w:rPr>
        <w:t xml:space="preserve">, </w:t>
      </w:r>
      <w:r>
        <w:rPr>
          <w:color w:val="231F20"/>
          <w:sz w:val="21"/>
          <w:szCs w:val="21"/>
        </w:rPr>
        <w:t xml:space="preserve">77 Va. App. </w:t>
      </w:r>
      <w:r w:rsidR="00E7305A">
        <w:rPr>
          <w:color w:val="231F20"/>
          <w:sz w:val="21"/>
          <w:szCs w:val="21"/>
        </w:rPr>
        <w:t>440</w:t>
      </w:r>
      <w:r w:rsidRPr="009F1ECF">
        <w:rPr>
          <w:color w:val="231F20"/>
          <w:sz w:val="21"/>
          <w:szCs w:val="21"/>
        </w:rPr>
        <w:t xml:space="preserve">, </w:t>
      </w:r>
      <w:r>
        <w:rPr>
          <w:color w:val="231F20"/>
          <w:sz w:val="21"/>
          <w:szCs w:val="21"/>
        </w:rPr>
        <w:t>88</w:t>
      </w:r>
      <w:r w:rsidR="00E7305A">
        <w:rPr>
          <w:color w:val="231F20"/>
          <w:sz w:val="21"/>
          <w:szCs w:val="21"/>
        </w:rPr>
        <w:t>6</w:t>
      </w:r>
      <w:r w:rsidRPr="009F1ECF">
        <w:rPr>
          <w:color w:val="231F20"/>
          <w:sz w:val="21"/>
          <w:szCs w:val="21"/>
        </w:rPr>
        <w:t xml:space="preserve"> S.E.2d </w:t>
      </w:r>
      <w:r w:rsidR="00E7305A">
        <w:rPr>
          <w:color w:val="231F20"/>
          <w:sz w:val="21"/>
          <w:szCs w:val="21"/>
        </w:rPr>
        <w:t>301</w:t>
      </w:r>
      <w:r w:rsidRPr="009F1ECF">
        <w:rPr>
          <w:color w:val="231F20"/>
          <w:sz w:val="21"/>
          <w:szCs w:val="21"/>
        </w:rPr>
        <w:t>.</w:t>
      </w:r>
    </w:p>
    <w:p w14:paraId="6A766BB0" w14:textId="49209C93" w:rsidR="00E7305A" w:rsidRPr="00C30C92" w:rsidRDefault="00E7305A" w:rsidP="00E7305A">
      <w:pPr>
        <w:pStyle w:val="BodyText"/>
        <w:spacing w:before="120" w:after="120"/>
        <w:ind w:left="1440"/>
        <w:jc w:val="both"/>
        <w:rPr>
          <w:color w:val="231F20"/>
        </w:rPr>
      </w:pPr>
      <w:r>
        <w:rPr>
          <w:color w:val="231F20"/>
        </w:rPr>
        <w:t xml:space="preserve">Plaintiff in fraudulent misrepresentation claim may recover difference between value of what received and its purchase price and also pecuniary loss suffered otherwise as a result of the reliance upon the misrepresentation. </w:t>
      </w:r>
    </w:p>
    <w:p w14:paraId="7C221172" w14:textId="5ACAAEF5" w:rsidR="00EF7A8A" w:rsidRPr="009F1ECF" w:rsidRDefault="00EF7A8A" w:rsidP="00EF7A8A">
      <w:pPr>
        <w:spacing w:before="141" w:line="250" w:lineRule="exact"/>
        <w:ind w:left="720"/>
        <w:rPr>
          <w:sz w:val="21"/>
          <w:szCs w:val="21"/>
        </w:rPr>
      </w:pPr>
      <w:r w:rsidRPr="00AF062B">
        <w:rPr>
          <w:iCs/>
          <w:color w:val="231F20"/>
          <w:sz w:val="21"/>
          <w:szCs w:val="21"/>
        </w:rPr>
        <w:t>202</w:t>
      </w:r>
      <w:r>
        <w:rPr>
          <w:iCs/>
          <w:color w:val="231F20"/>
          <w:sz w:val="21"/>
          <w:szCs w:val="21"/>
        </w:rPr>
        <w:t>3</w:t>
      </w:r>
      <w:r w:rsidRPr="009F1ECF">
        <w:rPr>
          <w:color w:val="231F20"/>
          <w:sz w:val="21"/>
          <w:szCs w:val="21"/>
        </w:rPr>
        <w:t>—</w:t>
      </w:r>
      <w:r>
        <w:rPr>
          <w:i/>
          <w:color w:val="231F20"/>
          <w:sz w:val="21"/>
          <w:szCs w:val="21"/>
        </w:rPr>
        <w:t>Qiu v. Huang</w:t>
      </w:r>
      <w:r w:rsidRPr="009F1ECF">
        <w:rPr>
          <w:color w:val="231F20"/>
          <w:sz w:val="21"/>
          <w:szCs w:val="21"/>
        </w:rPr>
        <w:t xml:space="preserve">, </w:t>
      </w:r>
      <w:r>
        <w:rPr>
          <w:color w:val="231F20"/>
          <w:sz w:val="21"/>
          <w:szCs w:val="21"/>
        </w:rPr>
        <w:t>77 Va. App. 304</w:t>
      </w:r>
      <w:r w:rsidRPr="009F1ECF">
        <w:rPr>
          <w:color w:val="231F20"/>
          <w:sz w:val="21"/>
          <w:szCs w:val="21"/>
        </w:rPr>
        <w:t xml:space="preserve">, </w:t>
      </w:r>
      <w:r>
        <w:rPr>
          <w:color w:val="231F20"/>
          <w:sz w:val="21"/>
          <w:szCs w:val="21"/>
        </w:rPr>
        <w:t>885</w:t>
      </w:r>
      <w:r w:rsidRPr="009F1ECF">
        <w:rPr>
          <w:color w:val="231F20"/>
          <w:sz w:val="21"/>
          <w:szCs w:val="21"/>
        </w:rPr>
        <w:t xml:space="preserve"> S.E.2d </w:t>
      </w:r>
      <w:r>
        <w:rPr>
          <w:color w:val="231F20"/>
          <w:sz w:val="21"/>
          <w:szCs w:val="21"/>
        </w:rPr>
        <w:t>503</w:t>
      </w:r>
      <w:r w:rsidRPr="009F1ECF">
        <w:rPr>
          <w:color w:val="231F20"/>
          <w:sz w:val="21"/>
          <w:szCs w:val="21"/>
        </w:rPr>
        <w:t>.</w:t>
      </w:r>
    </w:p>
    <w:p w14:paraId="420449BC" w14:textId="1E0BC211" w:rsidR="00EF7A8A" w:rsidRPr="00C30C92" w:rsidRDefault="00EF7A8A" w:rsidP="00EF7A8A">
      <w:pPr>
        <w:pStyle w:val="BodyText"/>
        <w:spacing w:before="120" w:after="120"/>
        <w:ind w:left="1440"/>
        <w:jc w:val="both"/>
        <w:rPr>
          <w:color w:val="231F20"/>
        </w:rPr>
      </w:pPr>
      <w:r>
        <w:rPr>
          <w:color w:val="231F20"/>
        </w:rPr>
        <w:t xml:space="preserve">Father brought action against mother’s friend who was a piano teacher of the child and also the mother’s divorce attorney asserting tortious interference with parental rights and fraud and other claims. Father failed to sufficiently allege justifiable reliance and therefore fraud claim fails. The other claims likewise failed. </w:t>
      </w:r>
    </w:p>
    <w:p w14:paraId="7B35E724" w14:textId="4CF3879B" w:rsidR="009A333D" w:rsidRPr="009F1ECF" w:rsidRDefault="009A333D" w:rsidP="009A333D">
      <w:pPr>
        <w:spacing w:before="141" w:line="250" w:lineRule="exact"/>
        <w:ind w:left="720"/>
        <w:rPr>
          <w:sz w:val="21"/>
          <w:szCs w:val="21"/>
        </w:rPr>
      </w:pPr>
      <w:r w:rsidRPr="00AF062B">
        <w:rPr>
          <w:iCs/>
          <w:color w:val="231F20"/>
          <w:sz w:val="21"/>
          <w:szCs w:val="21"/>
        </w:rPr>
        <w:t>2021</w:t>
      </w:r>
      <w:r w:rsidRPr="009F1ECF">
        <w:rPr>
          <w:color w:val="231F20"/>
          <w:sz w:val="21"/>
          <w:szCs w:val="21"/>
        </w:rPr>
        <w:t>—</w:t>
      </w:r>
      <w:r>
        <w:rPr>
          <w:i/>
          <w:color w:val="231F20"/>
          <w:sz w:val="21"/>
          <w:szCs w:val="21"/>
        </w:rPr>
        <w:t>Doe v. Baker</w:t>
      </w:r>
      <w:r w:rsidRPr="009F1ECF">
        <w:rPr>
          <w:color w:val="231F20"/>
          <w:sz w:val="21"/>
          <w:szCs w:val="21"/>
        </w:rPr>
        <w:t xml:space="preserve">, </w:t>
      </w:r>
      <w:r>
        <w:rPr>
          <w:color w:val="231F20"/>
          <w:sz w:val="21"/>
          <w:szCs w:val="21"/>
        </w:rPr>
        <w:t>299 Va. 628</w:t>
      </w:r>
      <w:r w:rsidRPr="009F1ECF">
        <w:rPr>
          <w:color w:val="231F20"/>
          <w:sz w:val="21"/>
          <w:szCs w:val="21"/>
        </w:rPr>
        <w:t xml:space="preserve">, </w:t>
      </w:r>
      <w:r>
        <w:rPr>
          <w:color w:val="231F20"/>
          <w:sz w:val="21"/>
          <w:szCs w:val="21"/>
        </w:rPr>
        <w:t>857</w:t>
      </w:r>
      <w:r w:rsidRPr="009F1ECF">
        <w:rPr>
          <w:color w:val="231F20"/>
          <w:sz w:val="21"/>
          <w:szCs w:val="21"/>
        </w:rPr>
        <w:t xml:space="preserve"> S.E.2d </w:t>
      </w:r>
      <w:r>
        <w:rPr>
          <w:color w:val="231F20"/>
          <w:sz w:val="21"/>
          <w:szCs w:val="21"/>
        </w:rPr>
        <w:t>573</w:t>
      </w:r>
      <w:r w:rsidRPr="009F1ECF">
        <w:rPr>
          <w:color w:val="231F20"/>
          <w:sz w:val="21"/>
          <w:szCs w:val="21"/>
        </w:rPr>
        <w:t>.</w:t>
      </w:r>
    </w:p>
    <w:p w14:paraId="5DF15573" w14:textId="29578AFC" w:rsidR="009A333D" w:rsidRPr="00C30C92" w:rsidRDefault="009A333D" w:rsidP="009A333D">
      <w:pPr>
        <w:pStyle w:val="BodyText"/>
        <w:spacing w:before="120" w:after="120"/>
        <w:ind w:left="1440"/>
        <w:jc w:val="both"/>
        <w:rPr>
          <w:color w:val="231F20"/>
        </w:rPr>
      </w:pPr>
      <w:r>
        <w:rPr>
          <w:color w:val="231F20"/>
        </w:rPr>
        <w:t>Before nondisclosure may constitute fraud, there must be a legal or equitable obligation to disclose.</w:t>
      </w:r>
    </w:p>
    <w:p w14:paraId="56AD8EDB" w14:textId="4BDD1A11" w:rsidR="009A333D" w:rsidRPr="009F1ECF" w:rsidRDefault="009A333D" w:rsidP="009A333D">
      <w:pPr>
        <w:spacing w:before="141" w:line="250" w:lineRule="exact"/>
        <w:ind w:left="720"/>
        <w:rPr>
          <w:sz w:val="21"/>
          <w:szCs w:val="21"/>
        </w:rPr>
      </w:pPr>
      <w:r w:rsidRPr="003C6AE5">
        <w:rPr>
          <w:iCs/>
          <w:color w:val="231F20"/>
          <w:sz w:val="21"/>
          <w:szCs w:val="21"/>
        </w:rPr>
        <w:t>2021</w:t>
      </w:r>
      <w:r w:rsidRPr="009F1ECF">
        <w:rPr>
          <w:color w:val="231F20"/>
          <w:sz w:val="21"/>
          <w:szCs w:val="21"/>
        </w:rPr>
        <w:t>—</w:t>
      </w:r>
      <w:r>
        <w:rPr>
          <w:i/>
          <w:color w:val="231F20"/>
          <w:sz w:val="21"/>
          <w:szCs w:val="21"/>
        </w:rPr>
        <w:t>White v. Llewellyn</w:t>
      </w:r>
      <w:r w:rsidRPr="009F1ECF">
        <w:rPr>
          <w:color w:val="231F20"/>
          <w:sz w:val="21"/>
          <w:szCs w:val="21"/>
        </w:rPr>
        <w:t xml:space="preserve">, </w:t>
      </w:r>
      <w:r>
        <w:rPr>
          <w:color w:val="231F20"/>
          <w:sz w:val="21"/>
          <w:szCs w:val="21"/>
        </w:rPr>
        <w:t>299 Va. 658</w:t>
      </w:r>
      <w:r w:rsidRPr="009F1ECF">
        <w:rPr>
          <w:color w:val="231F20"/>
          <w:sz w:val="21"/>
          <w:szCs w:val="21"/>
        </w:rPr>
        <w:t xml:space="preserve">, </w:t>
      </w:r>
      <w:r>
        <w:rPr>
          <w:color w:val="231F20"/>
          <w:sz w:val="21"/>
          <w:szCs w:val="21"/>
        </w:rPr>
        <w:t>857</w:t>
      </w:r>
      <w:r w:rsidRPr="009F1ECF">
        <w:rPr>
          <w:color w:val="231F20"/>
          <w:sz w:val="21"/>
          <w:szCs w:val="21"/>
        </w:rPr>
        <w:t xml:space="preserve"> S.E.2d </w:t>
      </w:r>
      <w:r>
        <w:rPr>
          <w:color w:val="231F20"/>
          <w:sz w:val="21"/>
          <w:szCs w:val="21"/>
        </w:rPr>
        <w:t>388</w:t>
      </w:r>
      <w:r w:rsidRPr="009F1ECF">
        <w:rPr>
          <w:color w:val="231F20"/>
          <w:sz w:val="21"/>
          <w:szCs w:val="21"/>
        </w:rPr>
        <w:t>.</w:t>
      </w:r>
    </w:p>
    <w:p w14:paraId="5B4E461E" w14:textId="10FAAA66" w:rsidR="009A333D" w:rsidRPr="00C30C92" w:rsidRDefault="009A333D" w:rsidP="009A333D">
      <w:pPr>
        <w:pStyle w:val="BodyText"/>
        <w:spacing w:before="120" w:after="120"/>
        <w:ind w:left="1440"/>
        <w:jc w:val="both"/>
        <w:rPr>
          <w:color w:val="231F20"/>
        </w:rPr>
      </w:pPr>
      <w:r>
        <w:rPr>
          <w:color w:val="231F20"/>
        </w:rPr>
        <w:t>Motorist in personal injury action sued the wife motorist and also her husband.  Those defendants subsequently divorced.  Personal injury plaintiff brought fraudulent convey</w:t>
      </w:r>
      <w:r w:rsidR="00FD31DE">
        <w:rPr>
          <w:color w:val="231F20"/>
        </w:rPr>
        <w:t>-</w:t>
      </w:r>
      <w:r>
        <w:rPr>
          <w:color w:val="231F20"/>
        </w:rPr>
        <w:t>ance action as to conveyance of marital residence.  The action carried some badges of fraud and therefore shifted to the defendants the burden of persuasion along with the burden of production.</w:t>
      </w:r>
    </w:p>
    <w:p w14:paraId="2F10C2EF" w14:textId="4F12E5BB" w:rsidR="00FA624D" w:rsidRPr="009F1ECF" w:rsidRDefault="00FA624D" w:rsidP="00FA624D">
      <w:pPr>
        <w:spacing w:before="141" w:line="250" w:lineRule="exact"/>
        <w:ind w:left="720"/>
        <w:rPr>
          <w:sz w:val="21"/>
          <w:szCs w:val="21"/>
        </w:rPr>
      </w:pPr>
      <w:r>
        <w:rPr>
          <w:color w:val="231F20"/>
          <w:sz w:val="21"/>
          <w:szCs w:val="21"/>
        </w:rPr>
        <w:t>2018</w:t>
      </w:r>
      <w:r w:rsidRPr="009F1ECF">
        <w:rPr>
          <w:color w:val="231F20"/>
          <w:sz w:val="21"/>
          <w:szCs w:val="21"/>
        </w:rPr>
        <w:t>—</w:t>
      </w:r>
      <w:r>
        <w:rPr>
          <w:i/>
          <w:color w:val="231F20"/>
          <w:sz w:val="21"/>
          <w:szCs w:val="21"/>
        </w:rPr>
        <w:t>Crosby v. ALG Trustee, LLC</w:t>
      </w:r>
      <w:r w:rsidRPr="009F1ECF">
        <w:rPr>
          <w:color w:val="231F20"/>
          <w:sz w:val="21"/>
          <w:szCs w:val="21"/>
        </w:rPr>
        <w:t xml:space="preserve">, </w:t>
      </w:r>
      <w:r>
        <w:rPr>
          <w:color w:val="231F20"/>
          <w:sz w:val="21"/>
          <w:szCs w:val="21"/>
        </w:rPr>
        <w:t>296 Va. 561</w:t>
      </w:r>
      <w:r w:rsidRPr="009F1ECF">
        <w:rPr>
          <w:color w:val="231F20"/>
          <w:sz w:val="21"/>
          <w:szCs w:val="21"/>
        </w:rPr>
        <w:t>, 8</w:t>
      </w:r>
      <w:r>
        <w:rPr>
          <w:color w:val="231F20"/>
          <w:sz w:val="21"/>
          <w:szCs w:val="21"/>
        </w:rPr>
        <w:t>22</w:t>
      </w:r>
      <w:r w:rsidRPr="009F1ECF">
        <w:rPr>
          <w:color w:val="231F20"/>
          <w:sz w:val="21"/>
          <w:szCs w:val="21"/>
        </w:rPr>
        <w:t xml:space="preserve"> S.E.2d </w:t>
      </w:r>
      <w:r>
        <w:rPr>
          <w:color w:val="231F20"/>
          <w:sz w:val="21"/>
          <w:szCs w:val="21"/>
        </w:rPr>
        <w:t>185</w:t>
      </w:r>
      <w:r w:rsidRPr="009F1ECF">
        <w:rPr>
          <w:color w:val="231F20"/>
          <w:sz w:val="21"/>
          <w:szCs w:val="21"/>
        </w:rPr>
        <w:t>.</w:t>
      </w:r>
    </w:p>
    <w:p w14:paraId="31132257" w14:textId="11812459" w:rsidR="00FA624D" w:rsidRPr="00C30C92" w:rsidRDefault="00E91E96" w:rsidP="00FA624D">
      <w:pPr>
        <w:pStyle w:val="BodyText"/>
        <w:spacing w:before="120" w:after="120"/>
        <w:ind w:left="1440"/>
        <w:jc w:val="both"/>
        <w:rPr>
          <w:color w:val="231F20"/>
        </w:rPr>
      </w:pPr>
      <w:r>
        <w:rPr>
          <w:color w:val="231F20"/>
        </w:rPr>
        <w:t>In this foreclosure sale a trustee under the deed of trust has an obligation of impartiality.  That means that the trustee must balance the conflicting positions of the creditor and the debtor.  In this case the sale of property at a price that was so inadequate as to shock the conscience raises a presumption of fraud.  In this instance the duties of the trustee were not simply defined by the deed of trust, but rather also go back to the common law duty of impartiality</w:t>
      </w:r>
      <w:r w:rsidR="00FA624D">
        <w:rPr>
          <w:color w:val="231F20"/>
        </w:rPr>
        <w:t>.</w:t>
      </w:r>
    </w:p>
    <w:p w14:paraId="6106079A" w14:textId="77777777" w:rsidR="009F430B" w:rsidRDefault="009F430B" w:rsidP="008017C3">
      <w:pPr>
        <w:spacing w:before="141" w:line="250" w:lineRule="exact"/>
        <w:ind w:left="720"/>
        <w:rPr>
          <w:color w:val="231F20"/>
          <w:sz w:val="21"/>
          <w:szCs w:val="21"/>
        </w:rPr>
      </w:pPr>
    </w:p>
    <w:p w14:paraId="2915689F" w14:textId="77777777" w:rsidR="009F430B" w:rsidRDefault="009F430B" w:rsidP="008017C3">
      <w:pPr>
        <w:spacing w:before="141" w:line="250" w:lineRule="exact"/>
        <w:ind w:left="720"/>
        <w:rPr>
          <w:color w:val="231F20"/>
          <w:sz w:val="21"/>
          <w:szCs w:val="21"/>
        </w:rPr>
      </w:pPr>
    </w:p>
    <w:p w14:paraId="030C674F" w14:textId="3F5E8B5E" w:rsidR="008017C3" w:rsidRPr="009F1ECF" w:rsidRDefault="008017C3" w:rsidP="008017C3">
      <w:pPr>
        <w:spacing w:before="141" w:line="250" w:lineRule="exact"/>
        <w:ind w:left="720"/>
        <w:rPr>
          <w:sz w:val="21"/>
          <w:szCs w:val="21"/>
        </w:rPr>
      </w:pPr>
      <w:r>
        <w:rPr>
          <w:color w:val="231F20"/>
          <w:sz w:val="21"/>
          <w:szCs w:val="21"/>
        </w:rPr>
        <w:lastRenderedPageBreak/>
        <w:t>2018</w:t>
      </w:r>
      <w:r w:rsidRPr="009F1ECF">
        <w:rPr>
          <w:color w:val="231F20"/>
          <w:sz w:val="21"/>
          <w:szCs w:val="21"/>
        </w:rPr>
        <w:t>—</w:t>
      </w:r>
      <w:r>
        <w:rPr>
          <w:i/>
          <w:color w:val="231F20"/>
          <w:sz w:val="21"/>
          <w:szCs w:val="21"/>
        </w:rPr>
        <w:t>Sweely Holdings, LLC v. SunTrust Bank</w:t>
      </w:r>
      <w:r w:rsidRPr="009F1ECF">
        <w:rPr>
          <w:color w:val="231F20"/>
          <w:sz w:val="21"/>
          <w:szCs w:val="21"/>
        </w:rPr>
        <w:t xml:space="preserve">, </w:t>
      </w:r>
      <w:r>
        <w:rPr>
          <w:color w:val="231F20"/>
          <w:sz w:val="21"/>
          <w:szCs w:val="21"/>
        </w:rPr>
        <w:t>296 Va. 367</w:t>
      </w:r>
      <w:r w:rsidRPr="009F1ECF">
        <w:rPr>
          <w:color w:val="231F20"/>
          <w:sz w:val="21"/>
          <w:szCs w:val="21"/>
        </w:rPr>
        <w:t>, 8</w:t>
      </w:r>
      <w:r>
        <w:rPr>
          <w:color w:val="231F20"/>
          <w:sz w:val="21"/>
          <w:szCs w:val="21"/>
        </w:rPr>
        <w:t>20</w:t>
      </w:r>
      <w:r w:rsidRPr="009F1ECF">
        <w:rPr>
          <w:color w:val="231F20"/>
          <w:sz w:val="21"/>
          <w:szCs w:val="21"/>
        </w:rPr>
        <w:t xml:space="preserve"> S.E.2d </w:t>
      </w:r>
      <w:r>
        <w:rPr>
          <w:color w:val="231F20"/>
          <w:sz w:val="21"/>
          <w:szCs w:val="21"/>
        </w:rPr>
        <w:t>596</w:t>
      </w:r>
      <w:r w:rsidRPr="009F1ECF">
        <w:rPr>
          <w:color w:val="231F20"/>
          <w:sz w:val="21"/>
          <w:szCs w:val="21"/>
        </w:rPr>
        <w:t>.</w:t>
      </w:r>
    </w:p>
    <w:p w14:paraId="5B264BE9" w14:textId="5A22B67D" w:rsidR="008017C3" w:rsidRPr="00A4531F" w:rsidRDefault="008017C3" w:rsidP="00A4531F">
      <w:pPr>
        <w:pStyle w:val="BodyText"/>
        <w:spacing w:before="120" w:after="120"/>
        <w:ind w:left="1440"/>
        <w:jc w:val="both"/>
        <w:rPr>
          <w:color w:val="231F20"/>
        </w:rPr>
      </w:pPr>
      <w:r>
        <w:rPr>
          <w:color w:val="231F20"/>
        </w:rPr>
        <w:t>Bank is accused of fraudulent inducement in regards to misstatement of appraised value.  Plaintiff failed to properly allege justifiable reliance.</w:t>
      </w:r>
    </w:p>
    <w:p w14:paraId="1CE3DB03" w14:textId="594585AE" w:rsidR="00535426" w:rsidRPr="009F1ECF" w:rsidRDefault="00535426" w:rsidP="009F1ECF">
      <w:pPr>
        <w:spacing w:before="141" w:line="250" w:lineRule="exact"/>
        <w:ind w:left="720"/>
        <w:rPr>
          <w:sz w:val="21"/>
          <w:szCs w:val="21"/>
        </w:rPr>
      </w:pPr>
      <w:r w:rsidRPr="009F1ECF">
        <w:rPr>
          <w:color w:val="231F20"/>
          <w:sz w:val="21"/>
          <w:szCs w:val="21"/>
        </w:rPr>
        <w:t>2017—</w:t>
      </w:r>
      <w:r w:rsidRPr="009F1ECF">
        <w:rPr>
          <w:i/>
          <w:color w:val="231F20"/>
          <w:sz w:val="21"/>
          <w:szCs w:val="21"/>
        </w:rPr>
        <w:t>LaBella Dona Skin Care, Inc. v. Belle Femme Enterprises, LLC</w:t>
      </w:r>
      <w:r w:rsidRPr="009F1ECF">
        <w:rPr>
          <w:color w:val="231F20"/>
          <w:sz w:val="21"/>
          <w:szCs w:val="21"/>
        </w:rPr>
        <w:t>, 294 Va. 243, 805 S.E.2d 399.</w:t>
      </w:r>
    </w:p>
    <w:p w14:paraId="6C55BB55" w14:textId="355B5C93" w:rsidR="00535426" w:rsidRPr="00E426D1" w:rsidRDefault="00535426" w:rsidP="00E426D1">
      <w:pPr>
        <w:pStyle w:val="BodyText"/>
        <w:spacing w:before="120" w:after="120"/>
        <w:ind w:left="1440"/>
        <w:jc w:val="both"/>
        <w:rPr>
          <w:color w:val="231F20"/>
        </w:rPr>
      </w:pPr>
      <w:r>
        <w:rPr>
          <w:color w:val="231F20"/>
        </w:rPr>
        <w:t xml:space="preserve">Trial court erred when it </w:t>
      </w:r>
      <w:r w:rsidR="0028769F">
        <w:rPr>
          <w:color w:val="231F20"/>
        </w:rPr>
        <w:t xml:space="preserve">held that fraudulent conveyance under </w:t>
      </w:r>
      <w:r w:rsidR="002F24E0">
        <w:rPr>
          <w:color w:val="231F20"/>
        </w:rPr>
        <w:t xml:space="preserve">Va. </w:t>
      </w:r>
      <w:r w:rsidR="0028769F">
        <w:rPr>
          <w:color w:val="231F20"/>
        </w:rPr>
        <w:t>Code § 55-80 cannot serve as the predicate unlawful act to support a claim for statutory or common law conspiracy</w:t>
      </w:r>
      <w:r>
        <w:rPr>
          <w:color w:val="231F20"/>
        </w:rPr>
        <w:t>.</w:t>
      </w:r>
      <w:r w:rsidR="0028769F">
        <w:rPr>
          <w:color w:val="231F20"/>
        </w:rPr>
        <w:t xml:space="preserve">  In this case even though the recipient of a purported fraudulent conveyance was a third party creditor with a higher security interest, that did not mean as a matter of law that could not be a fraudulent conveyance.  In addition in successor liability claims the standard of proof is greater weight of the evidence and not clear and convincing evidence </w:t>
      </w:r>
      <w:r w:rsidR="00FB23A8">
        <w:rPr>
          <w:color w:val="231F20"/>
        </w:rPr>
        <w:t>when</w:t>
      </w:r>
      <w:r w:rsidR="0028769F">
        <w:rPr>
          <w:color w:val="231F20"/>
        </w:rPr>
        <w:t xml:space="preserve"> the successor liability is alleged pursuant to the mere continuation exception.  If the </w:t>
      </w:r>
      <w:r w:rsidR="000E25FE">
        <w:rPr>
          <w:color w:val="231F20"/>
        </w:rPr>
        <w:br/>
      </w:r>
      <w:r w:rsidR="0028769F">
        <w:rPr>
          <w:color w:val="231F20"/>
        </w:rPr>
        <w:t xml:space="preserve">claim is that the transaction is fraudulent in fact then the standard </w:t>
      </w:r>
      <w:r w:rsidR="00DD62EE">
        <w:rPr>
          <w:color w:val="231F20"/>
        </w:rPr>
        <w:t>of proof is clear and convincing evidence.</w:t>
      </w:r>
    </w:p>
    <w:p w14:paraId="3000A364" w14:textId="4E1029D1" w:rsidR="009910CD" w:rsidRDefault="00FC2690" w:rsidP="00C9136F">
      <w:pPr>
        <w:spacing w:before="141" w:line="250" w:lineRule="exact"/>
        <w:ind w:left="720" w:right="90"/>
        <w:jc w:val="both"/>
      </w:pPr>
      <w:r>
        <w:rPr>
          <w:color w:val="231F20"/>
        </w:rPr>
        <w:t>2012—</w:t>
      </w:r>
      <w:r>
        <w:rPr>
          <w:i/>
          <w:color w:val="231F20"/>
        </w:rPr>
        <w:t>Orthopedic &amp; Sports Physical Therapy Associates, Inc. v. Summit Group Properties, LLC</w:t>
      </w:r>
      <w:r>
        <w:rPr>
          <w:color w:val="231F20"/>
        </w:rPr>
        <w:t>, 283 Va.</w:t>
      </w:r>
      <w:r w:rsidR="00B64C57">
        <w:rPr>
          <w:color w:val="231F20"/>
        </w:rPr>
        <w:t xml:space="preserve"> </w:t>
      </w:r>
      <w:r>
        <w:rPr>
          <w:color w:val="231F20"/>
        </w:rPr>
        <w:t>777, 724 S.E.2d</w:t>
      </w:r>
      <w:r w:rsidR="00B64C57">
        <w:rPr>
          <w:color w:val="231F20"/>
        </w:rPr>
        <w:t xml:space="preserve"> </w:t>
      </w:r>
      <w:r>
        <w:rPr>
          <w:color w:val="231F20"/>
        </w:rPr>
        <w:t>718.</w:t>
      </w:r>
    </w:p>
    <w:p w14:paraId="23890261" w14:textId="77777777" w:rsidR="009910CD" w:rsidRPr="00E426D1" w:rsidRDefault="00FC2690" w:rsidP="00E426D1">
      <w:pPr>
        <w:pStyle w:val="BodyText"/>
        <w:spacing w:before="120" w:after="120"/>
        <w:ind w:left="1440"/>
        <w:jc w:val="both"/>
        <w:rPr>
          <w:color w:val="231F20"/>
        </w:rPr>
      </w:pPr>
      <w:r>
        <w:rPr>
          <w:color w:val="231F20"/>
        </w:rPr>
        <w:t>Trial court erred in giving instruction that jury could only find liability of the LLC for fraudulent activity if the conduct was approved by the members of the LLC. If the fraud was committed</w:t>
      </w:r>
      <w:r w:rsidR="00B64C57">
        <w:rPr>
          <w:color w:val="231F20"/>
        </w:rPr>
        <w:t xml:space="preserve"> </w:t>
      </w:r>
      <w:r>
        <w:rPr>
          <w:color w:val="231F20"/>
        </w:rPr>
        <w:t>in</w:t>
      </w:r>
      <w:r w:rsidRPr="00E426D1">
        <w:rPr>
          <w:color w:val="231F20"/>
        </w:rPr>
        <w:t xml:space="preserve"> </w:t>
      </w:r>
      <w:r>
        <w:rPr>
          <w:color w:val="231F20"/>
        </w:rPr>
        <w:t>the</w:t>
      </w:r>
      <w:r w:rsidRPr="00E426D1">
        <w:rPr>
          <w:color w:val="231F20"/>
        </w:rPr>
        <w:t xml:space="preserve"> </w:t>
      </w:r>
      <w:r>
        <w:rPr>
          <w:color w:val="231F20"/>
        </w:rPr>
        <w:t>ordinary</w:t>
      </w:r>
      <w:r w:rsidRPr="00E426D1">
        <w:rPr>
          <w:color w:val="231F20"/>
        </w:rPr>
        <w:t xml:space="preserve"> </w:t>
      </w:r>
      <w:r>
        <w:rPr>
          <w:color w:val="231F20"/>
        </w:rPr>
        <w:t>course</w:t>
      </w:r>
      <w:r w:rsidRPr="00E426D1">
        <w:rPr>
          <w:color w:val="231F20"/>
        </w:rPr>
        <w:t xml:space="preserve"> </w:t>
      </w:r>
      <w:r>
        <w:rPr>
          <w:color w:val="231F20"/>
        </w:rPr>
        <w:t>of</w:t>
      </w:r>
      <w:r w:rsidRPr="00E426D1">
        <w:rPr>
          <w:color w:val="231F20"/>
        </w:rPr>
        <w:t xml:space="preserve"> </w:t>
      </w:r>
      <w:r>
        <w:rPr>
          <w:color w:val="231F20"/>
        </w:rPr>
        <w:t>the</w:t>
      </w:r>
      <w:r w:rsidRPr="00E426D1">
        <w:rPr>
          <w:color w:val="231F20"/>
        </w:rPr>
        <w:t xml:space="preserve"> LLC’s </w:t>
      </w:r>
      <w:r>
        <w:rPr>
          <w:color w:val="231F20"/>
        </w:rPr>
        <w:t>business,</w:t>
      </w:r>
      <w:r w:rsidRPr="00E426D1">
        <w:rPr>
          <w:color w:val="231F20"/>
        </w:rPr>
        <w:t xml:space="preserve"> </w:t>
      </w:r>
      <w:r>
        <w:rPr>
          <w:color w:val="231F20"/>
        </w:rPr>
        <w:t>then</w:t>
      </w:r>
      <w:r w:rsidRPr="00E426D1">
        <w:rPr>
          <w:color w:val="231F20"/>
        </w:rPr>
        <w:t xml:space="preserve"> </w:t>
      </w:r>
      <w:r>
        <w:rPr>
          <w:color w:val="231F20"/>
        </w:rPr>
        <w:t>fraudulent</w:t>
      </w:r>
      <w:r w:rsidRPr="00E426D1">
        <w:rPr>
          <w:color w:val="231F20"/>
        </w:rPr>
        <w:t xml:space="preserve"> </w:t>
      </w:r>
      <w:r>
        <w:rPr>
          <w:color w:val="231F20"/>
        </w:rPr>
        <w:t>acts</w:t>
      </w:r>
      <w:r w:rsidRPr="00E426D1">
        <w:rPr>
          <w:color w:val="231F20"/>
        </w:rPr>
        <w:t xml:space="preserve"> </w:t>
      </w:r>
      <w:r>
        <w:rPr>
          <w:color w:val="231F20"/>
        </w:rPr>
        <w:t>by one member of the LLC would bind</w:t>
      </w:r>
      <w:r w:rsidR="00B64C57">
        <w:rPr>
          <w:color w:val="231F20"/>
        </w:rPr>
        <w:t xml:space="preserve"> </w:t>
      </w:r>
      <w:r>
        <w:rPr>
          <w:color w:val="231F20"/>
        </w:rPr>
        <w:t>it.</w:t>
      </w:r>
    </w:p>
    <w:p w14:paraId="5A2D0EEA" w14:textId="77777777" w:rsidR="009910CD" w:rsidRDefault="00FC2690" w:rsidP="009C32E1">
      <w:pPr>
        <w:spacing w:before="121" w:line="251" w:lineRule="exact"/>
        <w:ind w:left="720"/>
      </w:pPr>
      <w:r>
        <w:rPr>
          <w:color w:val="231F20"/>
        </w:rPr>
        <w:t>2012—</w:t>
      </w:r>
      <w:r>
        <w:rPr>
          <w:i/>
          <w:color w:val="231F20"/>
        </w:rPr>
        <w:t>Murayama 1997 Trust v.</w:t>
      </w:r>
      <w:r w:rsidR="00B64C57">
        <w:rPr>
          <w:i/>
          <w:color w:val="231F20"/>
        </w:rPr>
        <w:t xml:space="preserve"> </w:t>
      </w:r>
      <w:r>
        <w:rPr>
          <w:i/>
          <w:color w:val="231F20"/>
        </w:rPr>
        <w:t>NISC Holdings</w:t>
      </w:r>
      <w:r>
        <w:rPr>
          <w:color w:val="231F20"/>
        </w:rPr>
        <w:t>, 284 Va.</w:t>
      </w:r>
      <w:r w:rsidR="00B64C57">
        <w:rPr>
          <w:color w:val="231F20"/>
        </w:rPr>
        <w:t xml:space="preserve"> </w:t>
      </w:r>
      <w:r>
        <w:rPr>
          <w:color w:val="231F20"/>
        </w:rPr>
        <w:t>234, 727</w:t>
      </w:r>
      <w:r w:rsidR="00B64C57">
        <w:rPr>
          <w:color w:val="231F20"/>
        </w:rPr>
        <w:t xml:space="preserve"> </w:t>
      </w:r>
      <w:r>
        <w:rPr>
          <w:color w:val="231F20"/>
        </w:rPr>
        <w:t>S.E.2d</w:t>
      </w:r>
      <w:r w:rsidR="009C32E1">
        <w:rPr>
          <w:color w:val="231F20"/>
        </w:rPr>
        <w:t xml:space="preserve"> </w:t>
      </w:r>
      <w:r>
        <w:rPr>
          <w:color w:val="231F20"/>
        </w:rPr>
        <w:t>80.</w:t>
      </w:r>
    </w:p>
    <w:p w14:paraId="4FEB36AB" w14:textId="2957C211" w:rsidR="009910CD" w:rsidRPr="00E426D1" w:rsidRDefault="00FC2690" w:rsidP="00A01B9B">
      <w:pPr>
        <w:pStyle w:val="BodyText"/>
        <w:spacing w:before="120" w:after="120"/>
        <w:ind w:left="1440"/>
        <w:jc w:val="both"/>
        <w:rPr>
          <w:color w:val="231F20"/>
        </w:rPr>
      </w:pPr>
      <w:r>
        <w:rPr>
          <w:color w:val="231F20"/>
        </w:rPr>
        <w:t>Court properly sustained demurrer to complaint filed by trust seeking damages relating to a prior settlement agreement entered into relating to previous litigation between parties. Based upon the allegations of the settlement agreement and the nature of the adversarial relationship between the parties, as a matter of law, the trust did not reasonably rely upon any alleged fraudulent omissions or misrepresentations by the</w:t>
      </w:r>
      <w:r w:rsidR="00B64C57">
        <w:rPr>
          <w:color w:val="231F20"/>
        </w:rPr>
        <w:t xml:space="preserve"> </w:t>
      </w:r>
      <w:r>
        <w:rPr>
          <w:color w:val="231F20"/>
        </w:rPr>
        <w:t>defendant.</w:t>
      </w:r>
    </w:p>
    <w:p w14:paraId="0D9D174A" w14:textId="77777777" w:rsidR="009910CD" w:rsidRDefault="00FC2690" w:rsidP="009C32E1">
      <w:pPr>
        <w:spacing w:before="116" w:line="246" w:lineRule="exact"/>
        <w:ind w:left="720"/>
      </w:pPr>
      <w:r>
        <w:rPr>
          <w:color w:val="231F20"/>
        </w:rPr>
        <w:t>2010—</w:t>
      </w:r>
      <w:r>
        <w:rPr>
          <w:i/>
          <w:color w:val="231F20"/>
        </w:rPr>
        <w:t>Abi-Najm v.</w:t>
      </w:r>
      <w:r w:rsidR="00B64C57">
        <w:rPr>
          <w:i/>
          <w:color w:val="231F20"/>
        </w:rPr>
        <w:t xml:space="preserve"> </w:t>
      </w:r>
      <w:r>
        <w:rPr>
          <w:i/>
          <w:color w:val="231F20"/>
        </w:rPr>
        <w:t>Concord Condominium, LLC</w:t>
      </w:r>
      <w:r>
        <w:rPr>
          <w:color w:val="231F20"/>
        </w:rPr>
        <w:t>, 280 Va.</w:t>
      </w:r>
      <w:r w:rsidR="00B64C57">
        <w:rPr>
          <w:color w:val="231F20"/>
        </w:rPr>
        <w:t xml:space="preserve"> </w:t>
      </w:r>
      <w:r>
        <w:rPr>
          <w:color w:val="231F20"/>
        </w:rPr>
        <w:t>350, 699</w:t>
      </w:r>
      <w:r w:rsidR="009C32E1">
        <w:rPr>
          <w:color w:val="231F20"/>
        </w:rPr>
        <w:t xml:space="preserve"> </w:t>
      </w:r>
      <w:r>
        <w:rPr>
          <w:color w:val="231F20"/>
        </w:rPr>
        <w:t>S.E.2d 483.</w:t>
      </w:r>
    </w:p>
    <w:p w14:paraId="5E932B34" w14:textId="77777777" w:rsidR="009910CD" w:rsidRPr="00E426D1" w:rsidRDefault="00FC2690" w:rsidP="00E426D1">
      <w:pPr>
        <w:pStyle w:val="BodyText"/>
        <w:spacing w:before="120" w:after="120"/>
        <w:ind w:left="1440"/>
        <w:jc w:val="both"/>
        <w:rPr>
          <w:color w:val="231F20"/>
        </w:rPr>
      </w:pPr>
      <w:r>
        <w:rPr>
          <w:color w:val="231F20"/>
        </w:rPr>
        <w:t>Trial</w:t>
      </w:r>
      <w:r w:rsidRPr="00E426D1">
        <w:rPr>
          <w:color w:val="231F20"/>
        </w:rPr>
        <w:t xml:space="preserve"> </w:t>
      </w:r>
      <w:r w:rsidR="00AE3B68">
        <w:rPr>
          <w:color w:val="231F20"/>
        </w:rPr>
        <w:t>c</w:t>
      </w:r>
      <w:r>
        <w:rPr>
          <w:color w:val="231F20"/>
        </w:rPr>
        <w:t>ourt</w:t>
      </w:r>
      <w:r w:rsidRPr="00E426D1">
        <w:rPr>
          <w:color w:val="231F20"/>
        </w:rPr>
        <w:t xml:space="preserve"> </w:t>
      </w:r>
      <w:r>
        <w:rPr>
          <w:color w:val="231F20"/>
        </w:rPr>
        <w:t>improperly</w:t>
      </w:r>
      <w:r w:rsidRPr="00E426D1">
        <w:rPr>
          <w:color w:val="231F20"/>
        </w:rPr>
        <w:t xml:space="preserve"> </w:t>
      </w:r>
      <w:r>
        <w:rPr>
          <w:color w:val="231F20"/>
        </w:rPr>
        <w:t>granted</w:t>
      </w:r>
      <w:r w:rsidRPr="00E426D1">
        <w:rPr>
          <w:color w:val="231F20"/>
        </w:rPr>
        <w:t xml:space="preserve"> </w:t>
      </w:r>
      <w:r>
        <w:rPr>
          <w:color w:val="231F20"/>
        </w:rPr>
        <w:t>demurrer</w:t>
      </w:r>
      <w:r w:rsidRPr="00E426D1">
        <w:rPr>
          <w:color w:val="231F20"/>
        </w:rPr>
        <w:t xml:space="preserve"> </w:t>
      </w:r>
      <w:r>
        <w:rPr>
          <w:color w:val="231F20"/>
        </w:rPr>
        <w:t>based</w:t>
      </w:r>
      <w:r w:rsidRPr="00E426D1">
        <w:rPr>
          <w:color w:val="231F20"/>
        </w:rPr>
        <w:t xml:space="preserve"> </w:t>
      </w:r>
      <w:r>
        <w:rPr>
          <w:color w:val="231F20"/>
        </w:rPr>
        <w:t>upon</w:t>
      </w:r>
      <w:r w:rsidRPr="00E426D1">
        <w:rPr>
          <w:color w:val="231F20"/>
        </w:rPr>
        <w:t xml:space="preserve"> </w:t>
      </w:r>
      <w:r>
        <w:rPr>
          <w:color w:val="231F20"/>
        </w:rPr>
        <w:t>Economic</w:t>
      </w:r>
      <w:r w:rsidRPr="00E426D1">
        <w:rPr>
          <w:color w:val="231F20"/>
        </w:rPr>
        <w:t xml:space="preserve"> </w:t>
      </w:r>
      <w:r>
        <w:rPr>
          <w:color w:val="231F20"/>
        </w:rPr>
        <w:t>Loss Rule where plaintiffs had pled duties that gave rise to economic damages that were independent of the agreement between the parties.</w:t>
      </w:r>
      <w:r w:rsidRPr="00E426D1">
        <w:rPr>
          <w:color w:val="231F20"/>
        </w:rPr>
        <w:t xml:space="preserve"> </w:t>
      </w:r>
      <w:r>
        <w:rPr>
          <w:color w:val="231F20"/>
        </w:rPr>
        <w:t>In</w:t>
      </w:r>
      <w:r w:rsidRPr="00E426D1">
        <w:rPr>
          <w:color w:val="231F20"/>
        </w:rPr>
        <w:t xml:space="preserve"> </w:t>
      </w:r>
      <w:r>
        <w:rPr>
          <w:color w:val="231F20"/>
        </w:rPr>
        <w:t>this</w:t>
      </w:r>
      <w:r w:rsidRPr="00E426D1">
        <w:rPr>
          <w:color w:val="231F20"/>
        </w:rPr>
        <w:t xml:space="preserve"> </w:t>
      </w:r>
      <w:r>
        <w:rPr>
          <w:color w:val="231F20"/>
        </w:rPr>
        <w:t>case,</w:t>
      </w:r>
      <w:r w:rsidRPr="00E426D1">
        <w:rPr>
          <w:color w:val="231F20"/>
        </w:rPr>
        <w:t xml:space="preserve"> </w:t>
      </w:r>
      <w:r>
        <w:rPr>
          <w:color w:val="231F20"/>
        </w:rPr>
        <w:t>the</w:t>
      </w:r>
      <w:r w:rsidRPr="00E426D1">
        <w:rPr>
          <w:color w:val="231F20"/>
        </w:rPr>
        <w:t xml:space="preserve"> </w:t>
      </w:r>
      <w:r>
        <w:rPr>
          <w:color w:val="231F20"/>
        </w:rPr>
        <w:t>economic</w:t>
      </w:r>
      <w:r w:rsidRPr="00E426D1">
        <w:rPr>
          <w:color w:val="231F20"/>
        </w:rPr>
        <w:t xml:space="preserve"> </w:t>
      </w:r>
      <w:r>
        <w:rPr>
          <w:color w:val="231F20"/>
        </w:rPr>
        <w:t>losses</w:t>
      </w:r>
      <w:r w:rsidRPr="00E426D1">
        <w:rPr>
          <w:color w:val="231F20"/>
        </w:rPr>
        <w:t xml:space="preserve"> </w:t>
      </w:r>
      <w:r>
        <w:rPr>
          <w:color w:val="231F20"/>
        </w:rPr>
        <w:t>flowed</w:t>
      </w:r>
      <w:r w:rsidRPr="00E426D1">
        <w:rPr>
          <w:color w:val="231F20"/>
        </w:rPr>
        <w:t xml:space="preserve"> </w:t>
      </w:r>
      <w:r>
        <w:rPr>
          <w:color w:val="231F20"/>
        </w:rPr>
        <w:t>from</w:t>
      </w:r>
      <w:r w:rsidRPr="00E426D1">
        <w:rPr>
          <w:color w:val="231F20"/>
        </w:rPr>
        <w:t xml:space="preserve"> </w:t>
      </w:r>
      <w:r>
        <w:rPr>
          <w:color w:val="231F20"/>
        </w:rPr>
        <w:t>a</w:t>
      </w:r>
      <w:r w:rsidRPr="00E426D1">
        <w:rPr>
          <w:color w:val="231F20"/>
        </w:rPr>
        <w:t xml:space="preserve"> </w:t>
      </w:r>
      <w:r>
        <w:rPr>
          <w:color w:val="231F20"/>
        </w:rPr>
        <w:t>breach</w:t>
      </w:r>
      <w:r w:rsidRPr="00E426D1">
        <w:rPr>
          <w:color w:val="231F20"/>
        </w:rPr>
        <w:t xml:space="preserve"> </w:t>
      </w:r>
      <w:r>
        <w:rPr>
          <w:color w:val="231F20"/>
        </w:rPr>
        <w:t>of</w:t>
      </w:r>
      <w:r w:rsidRPr="00E426D1">
        <w:rPr>
          <w:color w:val="231F20"/>
        </w:rPr>
        <w:t xml:space="preserve"> </w:t>
      </w:r>
      <w:r>
        <w:rPr>
          <w:color w:val="231F20"/>
        </w:rPr>
        <w:t xml:space="preserve">the </w:t>
      </w:r>
      <w:r w:rsidRPr="00E426D1">
        <w:rPr>
          <w:color w:val="231F20"/>
        </w:rPr>
        <w:t xml:space="preserve">Virginia </w:t>
      </w:r>
      <w:r>
        <w:rPr>
          <w:color w:val="231F20"/>
        </w:rPr>
        <w:t>Consumer Protection Act and also from fraud in the inducement.</w:t>
      </w:r>
    </w:p>
    <w:p w14:paraId="4EED4201" w14:textId="77777777" w:rsidR="009910CD" w:rsidRDefault="00FC2690" w:rsidP="0094400D">
      <w:pPr>
        <w:spacing w:before="118"/>
        <w:ind w:left="720"/>
      </w:pPr>
      <w:r>
        <w:rPr>
          <w:color w:val="231F20"/>
        </w:rPr>
        <w:t>2010—</w:t>
      </w:r>
      <w:r>
        <w:rPr>
          <w:i/>
          <w:color w:val="231F20"/>
        </w:rPr>
        <w:t>Sales v.</w:t>
      </w:r>
      <w:r w:rsidR="00B64C57">
        <w:rPr>
          <w:i/>
          <w:color w:val="231F20"/>
        </w:rPr>
        <w:t xml:space="preserve"> </w:t>
      </w:r>
      <w:r>
        <w:rPr>
          <w:i/>
          <w:color w:val="231F20"/>
        </w:rPr>
        <w:t>Kecoughtan Hous. Co.</w:t>
      </w:r>
      <w:r>
        <w:rPr>
          <w:color w:val="231F20"/>
        </w:rPr>
        <w:t>, 279 Va.</w:t>
      </w:r>
      <w:r w:rsidR="00B64C57">
        <w:rPr>
          <w:color w:val="231F20"/>
        </w:rPr>
        <w:t xml:space="preserve"> </w:t>
      </w:r>
      <w:r>
        <w:rPr>
          <w:color w:val="231F20"/>
        </w:rPr>
        <w:t>475, 690 S.E.2d</w:t>
      </w:r>
      <w:r w:rsidR="00B64C57">
        <w:rPr>
          <w:color w:val="231F20"/>
        </w:rPr>
        <w:t xml:space="preserve"> </w:t>
      </w:r>
      <w:r>
        <w:rPr>
          <w:color w:val="231F20"/>
        </w:rPr>
        <w:t>91.</w:t>
      </w:r>
    </w:p>
    <w:p w14:paraId="7F0A1194" w14:textId="77777777" w:rsidR="009910CD" w:rsidRPr="00E426D1" w:rsidRDefault="00FC2690" w:rsidP="00E426D1">
      <w:pPr>
        <w:pStyle w:val="BodyText"/>
        <w:spacing w:before="120" w:after="120"/>
        <w:ind w:left="1440"/>
        <w:jc w:val="both"/>
        <w:rPr>
          <w:color w:val="231F20"/>
        </w:rPr>
      </w:pPr>
      <w:r w:rsidRPr="00E426D1">
        <w:rPr>
          <w:color w:val="231F20"/>
        </w:rPr>
        <w:t xml:space="preserve">Tenant </w:t>
      </w:r>
      <w:r>
        <w:rPr>
          <w:color w:val="231F20"/>
        </w:rPr>
        <w:t>filed</w:t>
      </w:r>
      <w:r w:rsidRPr="00E426D1">
        <w:rPr>
          <w:color w:val="231F20"/>
        </w:rPr>
        <w:t xml:space="preserve"> </w:t>
      </w:r>
      <w:r>
        <w:rPr>
          <w:color w:val="231F20"/>
        </w:rPr>
        <w:t>suit</w:t>
      </w:r>
      <w:r w:rsidRPr="00E426D1">
        <w:rPr>
          <w:color w:val="231F20"/>
        </w:rPr>
        <w:t xml:space="preserve"> </w:t>
      </w:r>
      <w:r>
        <w:rPr>
          <w:color w:val="231F20"/>
        </w:rPr>
        <w:t>against</w:t>
      </w:r>
      <w:r w:rsidRPr="00E426D1">
        <w:rPr>
          <w:color w:val="231F20"/>
        </w:rPr>
        <w:t xml:space="preserve"> </w:t>
      </w:r>
      <w:r>
        <w:rPr>
          <w:color w:val="231F20"/>
        </w:rPr>
        <w:t>apartment</w:t>
      </w:r>
      <w:r w:rsidRPr="00E426D1">
        <w:rPr>
          <w:color w:val="231F20"/>
        </w:rPr>
        <w:t xml:space="preserve"> </w:t>
      </w:r>
      <w:r>
        <w:rPr>
          <w:color w:val="231F20"/>
        </w:rPr>
        <w:t>owner</w:t>
      </w:r>
      <w:r w:rsidRPr="00E426D1">
        <w:rPr>
          <w:color w:val="231F20"/>
        </w:rPr>
        <w:t xml:space="preserve"> </w:t>
      </w:r>
      <w:r>
        <w:rPr>
          <w:color w:val="231F20"/>
        </w:rPr>
        <w:t>and</w:t>
      </w:r>
      <w:r w:rsidRPr="00E426D1">
        <w:rPr>
          <w:color w:val="231F20"/>
        </w:rPr>
        <w:t xml:space="preserve"> </w:t>
      </w:r>
      <w:r>
        <w:rPr>
          <w:color w:val="231F20"/>
        </w:rPr>
        <w:t>management</w:t>
      </w:r>
      <w:r w:rsidRPr="00E426D1">
        <w:rPr>
          <w:color w:val="231F20"/>
        </w:rPr>
        <w:t xml:space="preserve"> </w:t>
      </w:r>
      <w:r>
        <w:rPr>
          <w:color w:val="231F20"/>
        </w:rPr>
        <w:t>company for personal injury and property damage resulting from mold in the apartment. Plaintiff complained abo</w:t>
      </w:r>
      <w:r w:rsidR="00103F1A">
        <w:rPr>
          <w:color w:val="231F20"/>
        </w:rPr>
        <w:t>ut the presence of mold. Defen</w:t>
      </w:r>
      <w:r>
        <w:rPr>
          <w:color w:val="231F20"/>
        </w:rPr>
        <w:t>dants</w:t>
      </w:r>
      <w:r w:rsidRPr="00E426D1">
        <w:rPr>
          <w:color w:val="231F20"/>
        </w:rPr>
        <w:t xml:space="preserve"> </w:t>
      </w:r>
      <w:r>
        <w:rPr>
          <w:color w:val="231F20"/>
        </w:rPr>
        <w:t>represented</w:t>
      </w:r>
      <w:r w:rsidRPr="00E426D1">
        <w:rPr>
          <w:color w:val="231F20"/>
        </w:rPr>
        <w:t xml:space="preserve"> </w:t>
      </w:r>
      <w:r>
        <w:rPr>
          <w:color w:val="231F20"/>
        </w:rPr>
        <w:t>that</w:t>
      </w:r>
      <w:r w:rsidRPr="00E426D1">
        <w:rPr>
          <w:color w:val="231F20"/>
        </w:rPr>
        <w:t xml:space="preserve"> </w:t>
      </w:r>
      <w:r>
        <w:rPr>
          <w:color w:val="231F20"/>
        </w:rPr>
        <w:t>the</w:t>
      </w:r>
      <w:r w:rsidRPr="00E426D1">
        <w:rPr>
          <w:color w:val="231F20"/>
        </w:rPr>
        <w:t xml:space="preserve"> </w:t>
      </w:r>
      <w:r>
        <w:rPr>
          <w:color w:val="231F20"/>
        </w:rPr>
        <w:t>mold</w:t>
      </w:r>
      <w:r w:rsidRPr="00E426D1">
        <w:rPr>
          <w:color w:val="231F20"/>
        </w:rPr>
        <w:t xml:space="preserve"> </w:t>
      </w:r>
      <w:r>
        <w:rPr>
          <w:color w:val="231F20"/>
        </w:rPr>
        <w:t>had</w:t>
      </w:r>
      <w:r w:rsidRPr="00E426D1">
        <w:rPr>
          <w:color w:val="231F20"/>
        </w:rPr>
        <w:t xml:space="preserve"> </w:t>
      </w:r>
      <w:r>
        <w:rPr>
          <w:color w:val="231F20"/>
        </w:rPr>
        <w:t>been</w:t>
      </w:r>
      <w:r w:rsidRPr="00E426D1">
        <w:rPr>
          <w:color w:val="231F20"/>
        </w:rPr>
        <w:t xml:space="preserve"> </w:t>
      </w:r>
      <w:r>
        <w:rPr>
          <w:color w:val="231F20"/>
        </w:rPr>
        <w:t>remedied.</w:t>
      </w:r>
      <w:r w:rsidRPr="00E426D1">
        <w:rPr>
          <w:color w:val="231F20"/>
        </w:rPr>
        <w:t xml:space="preserve"> </w:t>
      </w:r>
      <w:r>
        <w:rPr>
          <w:color w:val="231F20"/>
        </w:rPr>
        <w:t>The</w:t>
      </w:r>
      <w:r w:rsidRPr="00E426D1">
        <w:rPr>
          <w:color w:val="231F20"/>
        </w:rPr>
        <w:t xml:space="preserve"> </w:t>
      </w:r>
      <w:r>
        <w:rPr>
          <w:color w:val="231F20"/>
        </w:rPr>
        <w:t>mold</w:t>
      </w:r>
      <w:r w:rsidRPr="00E426D1">
        <w:rPr>
          <w:color w:val="231F20"/>
        </w:rPr>
        <w:t xml:space="preserve"> </w:t>
      </w:r>
      <w:r>
        <w:rPr>
          <w:color w:val="231F20"/>
        </w:rPr>
        <w:t>in</w:t>
      </w:r>
      <w:r w:rsidRPr="00E426D1">
        <w:rPr>
          <w:color w:val="231F20"/>
        </w:rPr>
        <w:t xml:space="preserve"> </w:t>
      </w:r>
      <w:r>
        <w:rPr>
          <w:color w:val="231F20"/>
        </w:rPr>
        <w:t xml:space="preserve">fact began growing again causing personal injury and property damage to the plaintiff. Plaintiff properly set forth claims of negligent repair and fraud. Trial court improperly granted demurrer to the amended complaint and dismissed the complaint with prejudice. That was </w:t>
      </w:r>
      <w:r w:rsidRPr="00E426D1">
        <w:rPr>
          <w:color w:val="231F20"/>
        </w:rPr>
        <w:t>error.</w:t>
      </w:r>
    </w:p>
    <w:p w14:paraId="40514637" w14:textId="77777777" w:rsidR="009910CD" w:rsidRDefault="00FC2690" w:rsidP="0094400D">
      <w:pPr>
        <w:spacing w:before="118"/>
        <w:ind w:left="720"/>
      </w:pPr>
      <w:r>
        <w:rPr>
          <w:color w:val="231F20"/>
        </w:rPr>
        <w:t>2009—</w:t>
      </w:r>
      <w:r>
        <w:rPr>
          <w:i/>
          <w:color w:val="231F20"/>
        </w:rPr>
        <w:t>Dunn Constr. Co. v.</w:t>
      </w:r>
      <w:r w:rsidR="00B64C57">
        <w:rPr>
          <w:i/>
          <w:color w:val="231F20"/>
        </w:rPr>
        <w:t xml:space="preserve"> </w:t>
      </w:r>
      <w:r>
        <w:rPr>
          <w:i/>
          <w:color w:val="231F20"/>
        </w:rPr>
        <w:t>Cloney</w:t>
      </w:r>
      <w:r>
        <w:rPr>
          <w:color w:val="231F20"/>
        </w:rPr>
        <w:t>, 278 Va.</w:t>
      </w:r>
      <w:r w:rsidR="00B64C57">
        <w:rPr>
          <w:color w:val="231F20"/>
        </w:rPr>
        <w:t xml:space="preserve"> </w:t>
      </w:r>
      <w:r>
        <w:rPr>
          <w:color w:val="231F20"/>
        </w:rPr>
        <w:t>260, 682 S.E.2d</w:t>
      </w:r>
      <w:r w:rsidR="00B64C57">
        <w:rPr>
          <w:color w:val="231F20"/>
        </w:rPr>
        <w:t xml:space="preserve"> </w:t>
      </w:r>
      <w:r>
        <w:rPr>
          <w:color w:val="231F20"/>
        </w:rPr>
        <w:t>943.</w:t>
      </w:r>
    </w:p>
    <w:p w14:paraId="08FF71BE" w14:textId="77777777" w:rsidR="009910CD" w:rsidRPr="00E426D1" w:rsidRDefault="00FC2690" w:rsidP="00E426D1">
      <w:pPr>
        <w:pStyle w:val="BodyText"/>
        <w:spacing w:before="120" w:after="120"/>
        <w:ind w:left="1440"/>
        <w:jc w:val="both"/>
        <w:rPr>
          <w:color w:val="231F20"/>
        </w:rPr>
      </w:pPr>
      <w:r>
        <w:rPr>
          <w:color w:val="231F20"/>
        </w:rPr>
        <w:t>In this action for breach of contract between building contractor</w:t>
      </w:r>
      <w:r w:rsidRPr="00E426D1">
        <w:rPr>
          <w:color w:val="231F20"/>
        </w:rPr>
        <w:t xml:space="preserve"> </w:t>
      </w:r>
      <w:r>
        <w:rPr>
          <w:color w:val="231F20"/>
        </w:rPr>
        <w:t>and property owner, supreme court determined there was insufficient evidence</w:t>
      </w:r>
      <w:r w:rsidRPr="00E426D1">
        <w:rPr>
          <w:color w:val="231F20"/>
        </w:rPr>
        <w:t xml:space="preserve"> </w:t>
      </w:r>
      <w:r>
        <w:rPr>
          <w:color w:val="231F20"/>
        </w:rPr>
        <w:t>to</w:t>
      </w:r>
      <w:r w:rsidRPr="00E426D1">
        <w:rPr>
          <w:color w:val="231F20"/>
        </w:rPr>
        <w:t xml:space="preserve"> </w:t>
      </w:r>
      <w:r>
        <w:rPr>
          <w:color w:val="231F20"/>
        </w:rPr>
        <w:t>permit</w:t>
      </w:r>
      <w:r w:rsidRPr="00E426D1">
        <w:rPr>
          <w:color w:val="231F20"/>
        </w:rPr>
        <w:t xml:space="preserve"> </w:t>
      </w:r>
      <w:r>
        <w:rPr>
          <w:color w:val="231F20"/>
        </w:rPr>
        <w:t>the</w:t>
      </w:r>
      <w:r w:rsidRPr="00E426D1">
        <w:rPr>
          <w:color w:val="231F20"/>
        </w:rPr>
        <w:t xml:space="preserve"> </w:t>
      </w:r>
      <w:r>
        <w:rPr>
          <w:color w:val="231F20"/>
        </w:rPr>
        <w:t>jury</w:t>
      </w:r>
      <w:r w:rsidRPr="00E426D1">
        <w:rPr>
          <w:color w:val="231F20"/>
        </w:rPr>
        <w:t xml:space="preserve"> </w:t>
      </w:r>
      <w:r>
        <w:rPr>
          <w:color w:val="231F20"/>
        </w:rPr>
        <w:t>to</w:t>
      </w:r>
      <w:r w:rsidRPr="00E426D1">
        <w:rPr>
          <w:color w:val="231F20"/>
        </w:rPr>
        <w:t xml:space="preserve"> </w:t>
      </w:r>
      <w:r>
        <w:rPr>
          <w:color w:val="231F20"/>
        </w:rPr>
        <w:t>find</w:t>
      </w:r>
      <w:r w:rsidRPr="00E426D1">
        <w:rPr>
          <w:color w:val="231F20"/>
        </w:rPr>
        <w:t xml:space="preserve"> </w:t>
      </w:r>
      <w:r>
        <w:rPr>
          <w:color w:val="231F20"/>
        </w:rPr>
        <w:t>that</w:t>
      </w:r>
      <w:r w:rsidRPr="00E426D1">
        <w:rPr>
          <w:color w:val="231F20"/>
        </w:rPr>
        <w:t xml:space="preserve"> </w:t>
      </w:r>
      <w:r>
        <w:rPr>
          <w:color w:val="231F20"/>
        </w:rPr>
        <w:t>the</w:t>
      </w:r>
      <w:r w:rsidRPr="00E426D1">
        <w:rPr>
          <w:color w:val="231F20"/>
        </w:rPr>
        <w:t xml:space="preserve"> </w:t>
      </w:r>
      <w:r>
        <w:rPr>
          <w:color w:val="231F20"/>
        </w:rPr>
        <w:t>builder</w:t>
      </w:r>
      <w:r w:rsidRPr="00E426D1">
        <w:rPr>
          <w:color w:val="231F20"/>
        </w:rPr>
        <w:t xml:space="preserve"> </w:t>
      </w:r>
      <w:r>
        <w:rPr>
          <w:color w:val="231F20"/>
        </w:rPr>
        <w:t>had</w:t>
      </w:r>
      <w:r w:rsidRPr="00E426D1">
        <w:rPr>
          <w:color w:val="231F20"/>
        </w:rPr>
        <w:t xml:space="preserve"> </w:t>
      </w:r>
      <w:r>
        <w:rPr>
          <w:color w:val="231F20"/>
        </w:rPr>
        <w:t>committed</w:t>
      </w:r>
      <w:r w:rsidRPr="00E426D1">
        <w:rPr>
          <w:color w:val="231F20"/>
        </w:rPr>
        <w:t xml:space="preserve"> </w:t>
      </w:r>
      <w:r>
        <w:rPr>
          <w:color w:val="231F20"/>
        </w:rPr>
        <w:t>an act of fraud independent of the contractual relationship such that</w:t>
      </w:r>
      <w:r w:rsidRPr="00E426D1">
        <w:rPr>
          <w:color w:val="231F20"/>
        </w:rPr>
        <w:t xml:space="preserve"> </w:t>
      </w:r>
      <w:r>
        <w:rPr>
          <w:color w:val="231F20"/>
        </w:rPr>
        <w:t>the</w:t>
      </w:r>
      <w:r w:rsidR="00BE0B71" w:rsidRPr="00E426D1">
        <w:rPr>
          <w:color w:val="231F20"/>
        </w:rPr>
        <w:t xml:space="preserve"> </w:t>
      </w:r>
      <w:r>
        <w:rPr>
          <w:color w:val="231F20"/>
        </w:rPr>
        <w:t>property owner could maintain an action both for breach of contract and fraud. Any misrepresentations arose out of the contract and not tort.</w:t>
      </w:r>
    </w:p>
    <w:p w14:paraId="207E6D4F" w14:textId="77777777" w:rsidR="009F430B" w:rsidRDefault="009F430B">
      <w:pPr>
        <w:rPr>
          <w:b/>
          <w:color w:val="231F20"/>
        </w:rPr>
      </w:pPr>
      <w:r>
        <w:rPr>
          <w:b/>
          <w:color w:val="231F20"/>
        </w:rPr>
        <w:br w:type="page"/>
      </w:r>
    </w:p>
    <w:p w14:paraId="4ABB3D9F" w14:textId="0CFB51D1" w:rsidR="000E608E" w:rsidRPr="000E608E" w:rsidRDefault="000E608E" w:rsidP="00AF062B">
      <w:pPr>
        <w:pStyle w:val="ListParagraph"/>
        <w:numPr>
          <w:ilvl w:val="0"/>
          <w:numId w:val="42"/>
        </w:numPr>
        <w:spacing w:before="96"/>
        <w:ind w:left="1170" w:hanging="450"/>
        <w:rPr>
          <w:b/>
        </w:rPr>
      </w:pPr>
      <w:r>
        <w:rPr>
          <w:b/>
          <w:color w:val="231F20"/>
        </w:rPr>
        <w:lastRenderedPageBreak/>
        <w:t>Constructive Fraud</w:t>
      </w:r>
    </w:p>
    <w:p w14:paraId="0C37CE10" w14:textId="77777777" w:rsidR="000E608E" w:rsidRDefault="000E608E" w:rsidP="0094400D">
      <w:pPr>
        <w:spacing w:before="135"/>
        <w:ind w:left="720"/>
      </w:pPr>
      <w:r w:rsidRPr="000E608E">
        <w:rPr>
          <w:color w:val="231F20"/>
        </w:rPr>
        <w:t>201</w:t>
      </w:r>
      <w:r w:rsidR="008C7DFD">
        <w:rPr>
          <w:color w:val="231F20"/>
        </w:rPr>
        <w:t>7</w:t>
      </w:r>
      <w:r w:rsidRPr="000E608E">
        <w:rPr>
          <w:color w:val="231F20"/>
        </w:rPr>
        <w:t>—</w:t>
      </w:r>
      <w:r w:rsidR="008C7DFD">
        <w:rPr>
          <w:i/>
          <w:color w:val="231F20"/>
        </w:rPr>
        <w:t>MCR Federal, LLC</w:t>
      </w:r>
      <w:r w:rsidRPr="000E608E">
        <w:rPr>
          <w:i/>
          <w:color w:val="231F20"/>
        </w:rPr>
        <w:t xml:space="preserve"> v. </w:t>
      </w:r>
      <w:r w:rsidR="008C7DFD">
        <w:rPr>
          <w:i/>
          <w:color w:val="231F20"/>
        </w:rPr>
        <w:t>JB&amp;A, Inc.</w:t>
      </w:r>
      <w:r w:rsidRPr="000E608E">
        <w:rPr>
          <w:color w:val="231F20"/>
        </w:rPr>
        <w:t xml:space="preserve">, </w:t>
      </w:r>
      <w:r w:rsidR="008C7DFD">
        <w:rPr>
          <w:color w:val="231F20"/>
        </w:rPr>
        <w:t>294</w:t>
      </w:r>
      <w:r w:rsidRPr="000E608E">
        <w:rPr>
          <w:color w:val="231F20"/>
        </w:rPr>
        <w:t xml:space="preserve"> Va. </w:t>
      </w:r>
      <w:r w:rsidR="008C7DFD">
        <w:rPr>
          <w:color w:val="231F20"/>
        </w:rPr>
        <w:t>446</w:t>
      </w:r>
      <w:r w:rsidRPr="000E608E">
        <w:rPr>
          <w:color w:val="231F20"/>
        </w:rPr>
        <w:t xml:space="preserve">, </w:t>
      </w:r>
      <w:r w:rsidR="008C7DFD">
        <w:rPr>
          <w:color w:val="231F20"/>
        </w:rPr>
        <w:t>808</w:t>
      </w:r>
      <w:r w:rsidRPr="000E608E">
        <w:rPr>
          <w:color w:val="231F20"/>
        </w:rPr>
        <w:t xml:space="preserve"> S.E.2d </w:t>
      </w:r>
      <w:r w:rsidR="008C7DFD">
        <w:rPr>
          <w:color w:val="231F20"/>
        </w:rPr>
        <w:t>186</w:t>
      </w:r>
      <w:r w:rsidRPr="000E608E">
        <w:rPr>
          <w:color w:val="231F20"/>
        </w:rPr>
        <w:t>.</w:t>
      </w:r>
    </w:p>
    <w:p w14:paraId="53E8F25C" w14:textId="3C72D314" w:rsidR="000E608E" w:rsidRDefault="008C7DFD" w:rsidP="00E426D1">
      <w:pPr>
        <w:pStyle w:val="BodyText"/>
        <w:spacing w:before="120" w:after="120"/>
        <w:ind w:left="1440"/>
        <w:jc w:val="both"/>
        <w:rPr>
          <w:color w:val="231F20"/>
        </w:rPr>
      </w:pPr>
      <w:r>
        <w:rPr>
          <w:color w:val="231F20"/>
        </w:rPr>
        <w:t>Because fraud claim arose from contractual relationship</w:t>
      </w:r>
      <w:r w:rsidR="00EB2FD2">
        <w:rPr>
          <w:color w:val="231F20"/>
        </w:rPr>
        <w:t>,</w:t>
      </w:r>
      <w:r>
        <w:rPr>
          <w:color w:val="231F20"/>
        </w:rPr>
        <w:t xml:space="preserve"> it is barred in this circumstance under Source of Duty Rule.  </w:t>
      </w:r>
    </w:p>
    <w:p w14:paraId="282FA44F" w14:textId="717920AE" w:rsidR="00CF6DF3" w:rsidRPr="000E608E" w:rsidRDefault="00CF6DF3" w:rsidP="00CF6DF3">
      <w:pPr>
        <w:pStyle w:val="ListParagraph"/>
        <w:numPr>
          <w:ilvl w:val="0"/>
          <w:numId w:val="42"/>
        </w:numPr>
        <w:spacing w:before="96"/>
        <w:ind w:left="1170" w:hanging="450"/>
        <w:rPr>
          <w:b/>
        </w:rPr>
      </w:pPr>
      <w:r>
        <w:rPr>
          <w:b/>
          <w:color w:val="231F20"/>
        </w:rPr>
        <w:t>Damages</w:t>
      </w:r>
    </w:p>
    <w:p w14:paraId="70C2E212" w14:textId="77777777" w:rsidR="00CF6DF3" w:rsidRDefault="00CF6DF3" w:rsidP="00CF6DF3">
      <w:pPr>
        <w:spacing w:before="126"/>
        <w:ind w:left="720"/>
        <w:rPr>
          <w:color w:val="231F20"/>
        </w:rPr>
      </w:pPr>
      <w:r>
        <w:rPr>
          <w:color w:val="231F20"/>
        </w:rPr>
        <w:t>2023—</w:t>
      </w:r>
      <w:r>
        <w:rPr>
          <w:i/>
          <w:iCs/>
          <w:color w:val="231F20"/>
        </w:rPr>
        <w:t>Nester v. Scarabelli.</w:t>
      </w:r>
      <w:r>
        <w:rPr>
          <w:color w:val="231F20"/>
        </w:rPr>
        <w:t>, 77 Va. App. 440, 886 S.E.2d 301.</w:t>
      </w:r>
    </w:p>
    <w:p w14:paraId="04489D30" w14:textId="68A92F53" w:rsidR="00CF6DF3" w:rsidRDefault="00CF6DF3" w:rsidP="00CF6DF3">
      <w:pPr>
        <w:pStyle w:val="BodyText"/>
        <w:spacing w:before="120" w:after="120"/>
        <w:ind w:left="1440"/>
        <w:jc w:val="both"/>
        <w:rPr>
          <w:color w:val="231F20"/>
        </w:rPr>
      </w:pPr>
      <w:r>
        <w:rPr>
          <w:color w:val="231F20"/>
        </w:rPr>
        <w:t>Fraud damages may include the difference between the value of what was received and its purchase price and also the monetary loss suffered as a result of the reliance.</w:t>
      </w:r>
    </w:p>
    <w:p w14:paraId="2AA69641"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15.09</w:t>
      </w:r>
      <w:r>
        <w:rPr>
          <w:color w:val="231F20"/>
        </w:rPr>
        <w:tab/>
        <w:t>Infliction of Emotional</w:t>
      </w:r>
      <w:r w:rsidRPr="00ED1338">
        <w:rPr>
          <w:color w:val="231F20"/>
        </w:rPr>
        <w:t xml:space="preserve"> </w:t>
      </w:r>
      <w:r>
        <w:rPr>
          <w:color w:val="231F20"/>
        </w:rPr>
        <w:t>Distress</w:t>
      </w:r>
    </w:p>
    <w:p w14:paraId="766B16E2" w14:textId="77777777" w:rsidR="00EA48B6" w:rsidRPr="00E238B4" w:rsidRDefault="00EA48B6" w:rsidP="00EA48B6">
      <w:pPr>
        <w:spacing w:before="136"/>
        <w:ind w:left="720"/>
        <w:rPr>
          <w:color w:val="231F20"/>
        </w:rPr>
      </w:pPr>
      <w:r>
        <w:rPr>
          <w:color w:val="231F20"/>
        </w:rPr>
        <w:t>2020—</w:t>
      </w:r>
      <w:r>
        <w:rPr>
          <w:i/>
          <w:color w:val="231F20"/>
        </w:rPr>
        <w:t>Viers v. Baker</w:t>
      </w:r>
      <w:r>
        <w:rPr>
          <w:color w:val="231F20"/>
        </w:rPr>
        <w:t>, 298 Va. 553, 841 S.E.2d 857.</w:t>
      </w:r>
    </w:p>
    <w:p w14:paraId="0559D7E3" w14:textId="77777777" w:rsidR="00EA48B6" w:rsidRPr="00130C4A" w:rsidRDefault="00EA48B6" w:rsidP="00EA48B6">
      <w:pPr>
        <w:pStyle w:val="BodyText"/>
        <w:spacing w:before="120" w:after="120"/>
        <w:ind w:left="1440"/>
        <w:jc w:val="both"/>
        <w:rPr>
          <w:color w:val="231F20"/>
        </w:rPr>
      </w:pPr>
      <w:r>
        <w:rPr>
          <w:color w:val="231F20"/>
        </w:rPr>
        <w:t xml:space="preserve">County attorney was sued for defamation and intentional infliction of emotional distress.  Attorney is not entitled to absolute immunity for defamation.  The intentional inflection of emotional distress claim is dismissed on demurrer.  County Attorney’s statement that person had tampered with computer and wiped it clean was not so outrageous or intolerable as to go beyond all possible bounds of decency so as to state claim for intentional infliction of emotional distress.  </w:t>
      </w:r>
    </w:p>
    <w:p w14:paraId="61076834" w14:textId="01E2024F" w:rsidR="005220F1" w:rsidRDefault="005220F1" w:rsidP="005220F1">
      <w:pPr>
        <w:spacing w:before="135"/>
        <w:ind w:left="720"/>
      </w:pPr>
      <w:r>
        <w:rPr>
          <w:color w:val="231F20"/>
        </w:rPr>
        <w:t>2018—</w:t>
      </w:r>
      <w:r>
        <w:rPr>
          <w:i/>
          <w:color w:val="231F20"/>
        </w:rPr>
        <w:t>Coward v. Wellmont Health System</w:t>
      </w:r>
      <w:r>
        <w:rPr>
          <w:color w:val="231F20"/>
        </w:rPr>
        <w:t>, 295 Va. 351, 812 S.E.2d 766.</w:t>
      </w:r>
    </w:p>
    <w:p w14:paraId="74357245" w14:textId="04C108E8" w:rsidR="005220F1" w:rsidRPr="000261F3" w:rsidRDefault="00BF6241" w:rsidP="005220F1">
      <w:pPr>
        <w:pStyle w:val="BodyText"/>
        <w:spacing w:before="120" w:after="120"/>
        <w:ind w:left="1440"/>
        <w:jc w:val="both"/>
        <w:rPr>
          <w:color w:val="231F20"/>
        </w:rPr>
      </w:pPr>
      <w:r>
        <w:rPr>
          <w:color w:val="231F20"/>
        </w:rPr>
        <w:t xml:space="preserve">Although tortious interference with parental rights is recognized as a tort, there was no allegation in the Complaint that these defendants interfered with the plaintiff’s parental rights with knowledge that the plaintiff did not consent.  That is required in the </w:t>
      </w:r>
      <w:r w:rsidRPr="002F24E0">
        <w:rPr>
          <w:i/>
          <w:iCs/>
          <w:color w:val="231F20"/>
        </w:rPr>
        <w:t>Second Restatement of Torts</w:t>
      </w:r>
      <w:r>
        <w:rPr>
          <w:color w:val="231F20"/>
        </w:rPr>
        <w:t>, § 700</w:t>
      </w:r>
      <w:r w:rsidR="005220F1">
        <w:rPr>
          <w:color w:val="231F20"/>
        </w:rPr>
        <w:t>.</w:t>
      </w:r>
    </w:p>
    <w:p w14:paraId="53DF057E" w14:textId="33B1D03E" w:rsidR="009910CD" w:rsidRDefault="00FC2690" w:rsidP="0094400D">
      <w:pPr>
        <w:spacing w:before="135"/>
        <w:ind w:left="720"/>
      </w:pPr>
      <w:r>
        <w:rPr>
          <w:color w:val="231F20"/>
        </w:rPr>
        <w:t>2012—</w:t>
      </w:r>
      <w:r>
        <w:rPr>
          <w:i/>
          <w:color w:val="231F20"/>
        </w:rPr>
        <w:t>Wyatt v.</w:t>
      </w:r>
      <w:r w:rsidR="00B64C57">
        <w:rPr>
          <w:i/>
          <w:color w:val="231F20"/>
        </w:rPr>
        <w:t xml:space="preserve"> </w:t>
      </w:r>
      <w:r>
        <w:rPr>
          <w:i/>
          <w:color w:val="231F20"/>
        </w:rPr>
        <w:t>McDermott</w:t>
      </w:r>
      <w:r>
        <w:rPr>
          <w:color w:val="231F20"/>
        </w:rPr>
        <w:t>, 283 Va.</w:t>
      </w:r>
      <w:r w:rsidR="00B64C57">
        <w:rPr>
          <w:color w:val="231F20"/>
        </w:rPr>
        <w:t xml:space="preserve"> </w:t>
      </w:r>
      <w:r>
        <w:rPr>
          <w:color w:val="231F20"/>
        </w:rPr>
        <w:t>685, 725 S.E.2d</w:t>
      </w:r>
      <w:r w:rsidR="00B64C57">
        <w:rPr>
          <w:color w:val="231F20"/>
        </w:rPr>
        <w:t xml:space="preserve"> </w:t>
      </w:r>
      <w:r>
        <w:rPr>
          <w:color w:val="231F20"/>
        </w:rPr>
        <w:t>555.</w:t>
      </w:r>
    </w:p>
    <w:p w14:paraId="2DE2905C" w14:textId="77777777" w:rsidR="009910CD" w:rsidRPr="000261F3" w:rsidRDefault="00FC2690" w:rsidP="000261F3">
      <w:pPr>
        <w:pStyle w:val="BodyText"/>
        <w:spacing w:before="120" w:after="120"/>
        <w:ind w:left="1440"/>
        <w:jc w:val="both"/>
        <w:rPr>
          <w:color w:val="231F20"/>
        </w:rPr>
      </w:pPr>
      <w:r>
        <w:rPr>
          <w:color w:val="231F20"/>
        </w:rPr>
        <w:t>On question certified by Federal Court, Supreme Court stated that Virginia does recognize tortious interference with parental rights as a cause of action and set forth the elements of such a claim.</w:t>
      </w:r>
    </w:p>
    <w:p w14:paraId="67C8EE3D"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15.10</w:t>
      </w:r>
      <w:r>
        <w:rPr>
          <w:color w:val="231F20"/>
        </w:rPr>
        <w:tab/>
        <w:t>Malicious</w:t>
      </w:r>
      <w:r w:rsidRPr="00ED1338">
        <w:rPr>
          <w:color w:val="231F20"/>
        </w:rPr>
        <w:t xml:space="preserve"> </w:t>
      </w:r>
      <w:r>
        <w:rPr>
          <w:color w:val="231F20"/>
        </w:rPr>
        <w:t>Prosecution</w:t>
      </w:r>
    </w:p>
    <w:p w14:paraId="22688BAE" w14:textId="77777777" w:rsidR="009910CD" w:rsidRDefault="00FC2690" w:rsidP="00AF062B">
      <w:pPr>
        <w:pStyle w:val="ListParagraph"/>
        <w:numPr>
          <w:ilvl w:val="0"/>
          <w:numId w:val="42"/>
        </w:numPr>
        <w:spacing w:before="96"/>
        <w:ind w:left="1170" w:hanging="450"/>
        <w:rPr>
          <w:b/>
        </w:rPr>
      </w:pPr>
      <w:r>
        <w:rPr>
          <w:b/>
          <w:color w:val="231F20"/>
        </w:rPr>
        <w:t>Defenses</w:t>
      </w:r>
    </w:p>
    <w:p w14:paraId="1FC34CCF" w14:textId="77777777" w:rsidR="009910CD" w:rsidRDefault="00FC2690" w:rsidP="00AF062B">
      <w:pPr>
        <w:pStyle w:val="ListParagraph"/>
        <w:numPr>
          <w:ilvl w:val="1"/>
          <w:numId w:val="44"/>
        </w:numPr>
        <w:tabs>
          <w:tab w:val="left" w:pos="1710"/>
        </w:tabs>
        <w:spacing w:before="96"/>
        <w:ind w:left="1170" w:firstLine="0"/>
        <w:jc w:val="both"/>
        <w:rPr>
          <w:b/>
        </w:rPr>
      </w:pPr>
      <w:r>
        <w:rPr>
          <w:b/>
          <w:color w:val="231F20"/>
        </w:rPr>
        <w:t>Advice of</w:t>
      </w:r>
      <w:r>
        <w:rPr>
          <w:b/>
          <w:color w:val="231F20"/>
          <w:spacing w:val="32"/>
        </w:rPr>
        <w:t xml:space="preserve"> </w:t>
      </w:r>
      <w:r>
        <w:rPr>
          <w:b/>
          <w:color w:val="231F20"/>
        </w:rPr>
        <w:t>Counsel</w:t>
      </w:r>
    </w:p>
    <w:p w14:paraId="22665653" w14:textId="77777777" w:rsidR="009910CD" w:rsidRDefault="00FC2690" w:rsidP="0094400D">
      <w:pPr>
        <w:spacing w:before="136"/>
        <w:ind w:left="720"/>
      </w:pPr>
      <w:r>
        <w:rPr>
          <w:color w:val="231F20"/>
        </w:rPr>
        <w:t>2010—</w:t>
      </w:r>
      <w:r>
        <w:rPr>
          <w:i/>
          <w:color w:val="231F20"/>
        </w:rPr>
        <w:t>O’Connor v.</w:t>
      </w:r>
      <w:r w:rsidR="00B64C57">
        <w:rPr>
          <w:i/>
          <w:color w:val="231F20"/>
        </w:rPr>
        <w:t xml:space="preserve"> </w:t>
      </w:r>
      <w:r>
        <w:rPr>
          <w:i/>
          <w:color w:val="231F20"/>
        </w:rPr>
        <w:t>Tice</w:t>
      </w:r>
      <w:r>
        <w:rPr>
          <w:color w:val="231F20"/>
        </w:rPr>
        <w:t>, 281 Va.</w:t>
      </w:r>
      <w:r w:rsidR="00B64C57">
        <w:rPr>
          <w:color w:val="231F20"/>
        </w:rPr>
        <w:t xml:space="preserve"> </w:t>
      </w:r>
      <w:r>
        <w:rPr>
          <w:color w:val="231F20"/>
        </w:rPr>
        <w:t>1, 704 S.E.2d</w:t>
      </w:r>
      <w:r w:rsidR="00B64C57">
        <w:rPr>
          <w:color w:val="231F20"/>
        </w:rPr>
        <w:t xml:space="preserve"> </w:t>
      </w:r>
      <w:r>
        <w:rPr>
          <w:color w:val="231F20"/>
        </w:rPr>
        <w:t>572.</w:t>
      </w:r>
    </w:p>
    <w:p w14:paraId="4B0A7FAD" w14:textId="77777777" w:rsidR="009910CD" w:rsidRPr="000261F3" w:rsidRDefault="00FC2690" w:rsidP="000261F3">
      <w:pPr>
        <w:pStyle w:val="BodyText"/>
        <w:spacing w:before="120" w:after="120"/>
        <w:ind w:left="1440"/>
        <w:jc w:val="both"/>
        <w:rPr>
          <w:color w:val="231F20"/>
        </w:rPr>
      </w:pPr>
      <w:r>
        <w:rPr>
          <w:color w:val="231F20"/>
        </w:rPr>
        <w:t>In this malicious prosecution action primary issue is whether or not probable cause existed for the criminal prosecution. Jury returned a verdict adverse to the defendant. Defendant seems to raise advice</w:t>
      </w:r>
      <w:r w:rsidRPr="000261F3">
        <w:rPr>
          <w:color w:val="231F20"/>
        </w:rPr>
        <w:t xml:space="preserve"> </w:t>
      </w:r>
      <w:r>
        <w:rPr>
          <w:color w:val="231F20"/>
        </w:rPr>
        <w:t>of counsel defense. That defense is not applicable in this instance. If the defense were applicable, then the defendant would have to</w:t>
      </w:r>
      <w:r w:rsidRPr="000261F3">
        <w:rPr>
          <w:color w:val="231F20"/>
        </w:rPr>
        <w:t xml:space="preserve"> </w:t>
      </w:r>
      <w:r>
        <w:rPr>
          <w:color w:val="231F20"/>
        </w:rPr>
        <w:t>show that there had been a full disclosure of all material facts to the attorney.</w:t>
      </w:r>
    </w:p>
    <w:p w14:paraId="6CD0DB4C" w14:textId="4B37F4F1" w:rsidR="009910CD" w:rsidRPr="00AF062B" w:rsidRDefault="00AF062B" w:rsidP="00AF062B">
      <w:pPr>
        <w:pStyle w:val="ListParagraph"/>
        <w:numPr>
          <w:ilvl w:val="0"/>
          <w:numId w:val="54"/>
        </w:numPr>
        <w:tabs>
          <w:tab w:val="left" w:pos="1710"/>
        </w:tabs>
        <w:spacing w:before="96"/>
        <w:jc w:val="both"/>
        <w:rPr>
          <w:color w:val="231F20"/>
        </w:rPr>
      </w:pPr>
      <w:r>
        <w:rPr>
          <w:b/>
          <w:color w:val="231F20"/>
        </w:rPr>
        <w:tab/>
      </w:r>
      <w:r w:rsidR="00FC2690" w:rsidRPr="00AF062B">
        <w:rPr>
          <w:b/>
          <w:color w:val="231F20"/>
        </w:rPr>
        <w:t>Probable Cause</w:t>
      </w:r>
    </w:p>
    <w:p w14:paraId="0FACE4DA" w14:textId="77777777" w:rsidR="009910CD" w:rsidRDefault="00FC2690" w:rsidP="0094400D">
      <w:pPr>
        <w:spacing w:before="125"/>
        <w:ind w:left="720"/>
      </w:pPr>
      <w:r>
        <w:rPr>
          <w:color w:val="231F20"/>
        </w:rPr>
        <w:t>2010—</w:t>
      </w:r>
      <w:r>
        <w:rPr>
          <w:i/>
          <w:color w:val="231F20"/>
        </w:rPr>
        <w:t>O’Connor v.</w:t>
      </w:r>
      <w:r w:rsidR="00B64C57">
        <w:rPr>
          <w:i/>
          <w:color w:val="231F20"/>
        </w:rPr>
        <w:t xml:space="preserve"> </w:t>
      </w:r>
      <w:r>
        <w:rPr>
          <w:i/>
          <w:color w:val="231F20"/>
        </w:rPr>
        <w:t>Tice</w:t>
      </w:r>
      <w:r>
        <w:rPr>
          <w:color w:val="231F20"/>
        </w:rPr>
        <w:t>, 281 Va.</w:t>
      </w:r>
      <w:r w:rsidR="00B64C57">
        <w:rPr>
          <w:color w:val="231F20"/>
        </w:rPr>
        <w:t xml:space="preserve"> </w:t>
      </w:r>
      <w:r>
        <w:rPr>
          <w:color w:val="231F20"/>
        </w:rPr>
        <w:t>1, 704 S.E.2d</w:t>
      </w:r>
      <w:r w:rsidR="00B64C57">
        <w:rPr>
          <w:color w:val="231F20"/>
        </w:rPr>
        <w:t xml:space="preserve"> </w:t>
      </w:r>
      <w:r>
        <w:rPr>
          <w:color w:val="231F20"/>
        </w:rPr>
        <w:t>572.</w:t>
      </w:r>
    </w:p>
    <w:p w14:paraId="76D43451" w14:textId="77777777" w:rsidR="009910CD" w:rsidRPr="000261F3" w:rsidRDefault="00FC2690" w:rsidP="000261F3">
      <w:pPr>
        <w:pStyle w:val="BodyText"/>
        <w:spacing w:before="120" w:after="120"/>
        <w:ind w:left="1440"/>
        <w:jc w:val="both"/>
        <w:rPr>
          <w:color w:val="231F20"/>
        </w:rPr>
      </w:pPr>
      <w:r>
        <w:rPr>
          <w:color w:val="231F20"/>
        </w:rPr>
        <w:t>In this malicious prosecution action primary issue is whether or not probable cause existed for the criminal prosecution. Jury returned a verdict</w:t>
      </w:r>
      <w:r w:rsidRPr="000261F3">
        <w:rPr>
          <w:color w:val="231F20"/>
        </w:rPr>
        <w:t xml:space="preserve"> </w:t>
      </w:r>
      <w:r>
        <w:rPr>
          <w:color w:val="231F20"/>
        </w:rPr>
        <w:t>adverse</w:t>
      </w:r>
      <w:r w:rsidRPr="000261F3">
        <w:rPr>
          <w:color w:val="231F20"/>
        </w:rPr>
        <w:t xml:space="preserve"> </w:t>
      </w:r>
      <w:r>
        <w:rPr>
          <w:color w:val="231F20"/>
        </w:rPr>
        <w:t>to</w:t>
      </w:r>
      <w:r w:rsidRPr="000261F3">
        <w:rPr>
          <w:color w:val="231F20"/>
        </w:rPr>
        <w:t xml:space="preserve"> </w:t>
      </w:r>
      <w:r>
        <w:rPr>
          <w:color w:val="231F20"/>
        </w:rPr>
        <w:t>the</w:t>
      </w:r>
      <w:r w:rsidRPr="000261F3">
        <w:rPr>
          <w:color w:val="231F20"/>
        </w:rPr>
        <w:t xml:space="preserve"> </w:t>
      </w:r>
      <w:r>
        <w:rPr>
          <w:color w:val="231F20"/>
        </w:rPr>
        <w:t>Defendant.</w:t>
      </w:r>
      <w:r w:rsidRPr="000261F3">
        <w:rPr>
          <w:color w:val="231F20"/>
        </w:rPr>
        <w:t xml:space="preserve"> </w:t>
      </w:r>
      <w:r>
        <w:rPr>
          <w:color w:val="231F20"/>
        </w:rPr>
        <w:t>Defendant</w:t>
      </w:r>
      <w:r w:rsidRPr="000261F3">
        <w:rPr>
          <w:color w:val="231F20"/>
        </w:rPr>
        <w:t xml:space="preserve"> </w:t>
      </w:r>
      <w:r>
        <w:rPr>
          <w:color w:val="231F20"/>
        </w:rPr>
        <w:t>seems</w:t>
      </w:r>
      <w:r w:rsidRPr="000261F3">
        <w:rPr>
          <w:color w:val="231F20"/>
        </w:rPr>
        <w:t xml:space="preserve"> </w:t>
      </w:r>
      <w:r>
        <w:rPr>
          <w:color w:val="231F20"/>
        </w:rPr>
        <w:t>to</w:t>
      </w:r>
      <w:r w:rsidRPr="000261F3">
        <w:rPr>
          <w:color w:val="231F20"/>
        </w:rPr>
        <w:t xml:space="preserve"> </w:t>
      </w:r>
      <w:r>
        <w:rPr>
          <w:color w:val="231F20"/>
        </w:rPr>
        <w:t>raise</w:t>
      </w:r>
      <w:r w:rsidRPr="000261F3">
        <w:rPr>
          <w:color w:val="231F20"/>
        </w:rPr>
        <w:t xml:space="preserve"> </w:t>
      </w:r>
      <w:r>
        <w:rPr>
          <w:color w:val="231F20"/>
        </w:rPr>
        <w:t>advice</w:t>
      </w:r>
      <w:r w:rsidRPr="000261F3">
        <w:rPr>
          <w:color w:val="231F20"/>
        </w:rPr>
        <w:t xml:space="preserve"> </w:t>
      </w:r>
      <w:r>
        <w:rPr>
          <w:color w:val="231F20"/>
        </w:rPr>
        <w:t>of counsel defense. That defense is not applicable in this instance. If the</w:t>
      </w:r>
      <w:r w:rsidRPr="000261F3">
        <w:rPr>
          <w:color w:val="231F20"/>
        </w:rPr>
        <w:t xml:space="preserve"> </w:t>
      </w:r>
      <w:r>
        <w:rPr>
          <w:color w:val="231F20"/>
        </w:rPr>
        <w:t>defense</w:t>
      </w:r>
      <w:r w:rsidRPr="000261F3">
        <w:rPr>
          <w:color w:val="231F20"/>
        </w:rPr>
        <w:t xml:space="preserve"> </w:t>
      </w:r>
      <w:r>
        <w:rPr>
          <w:color w:val="231F20"/>
        </w:rPr>
        <w:t>were</w:t>
      </w:r>
      <w:r w:rsidRPr="000261F3">
        <w:rPr>
          <w:color w:val="231F20"/>
        </w:rPr>
        <w:t xml:space="preserve"> </w:t>
      </w:r>
      <w:r>
        <w:rPr>
          <w:color w:val="231F20"/>
        </w:rPr>
        <w:t>applicable,</w:t>
      </w:r>
      <w:r w:rsidRPr="000261F3">
        <w:rPr>
          <w:color w:val="231F20"/>
        </w:rPr>
        <w:t xml:space="preserve"> </w:t>
      </w:r>
      <w:r>
        <w:rPr>
          <w:color w:val="231F20"/>
        </w:rPr>
        <w:t>then</w:t>
      </w:r>
      <w:r w:rsidRPr="000261F3">
        <w:rPr>
          <w:color w:val="231F20"/>
        </w:rPr>
        <w:t xml:space="preserve"> </w:t>
      </w:r>
      <w:r>
        <w:rPr>
          <w:color w:val="231F20"/>
        </w:rPr>
        <w:t>the</w:t>
      </w:r>
      <w:r w:rsidRPr="000261F3">
        <w:rPr>
          <w:color w:val="231F20"/>
        </w:rPr>
        <w:t xml:space="preserve"> </w:t>
      </w:r>
      <w:r>
        <w:rPr>
          <w:color w:val="231F20"/>
        </w:rPr>
        <w:t>Defendant</w:t>
      </w:r>
      <w:r w:rsidRPr="000261F3">
        <w:rPr>
          <w:color w:val="231F20"/>
        </w:rPr>
        <w:t xml:space="preserve"> </w:t>
      </w:r>
      <w:r>
        <w:rPr>
          <w:color w:val="231F20"/>
        </w:rPr>
        <w:t>would</w:t>
      </w:r>
      <w:r w:rsidRPr="000261F3">
        <w:rPr>
          <w:color w:val="231F20"/>
        </w:rPr>
        <w:t xml:space="preserve"> </w:t>
      </w:r>
      <w:r>
        <w:rPr>
          <w:color w:val="231F20"/>
        </w:rPr>
        <w:t>have</w:t>
      </w:r>
      <w:r w:rsidRPr="000261F3">
        <w:rPr>
          <w:color w:val="231F20"/>
        </w:rPr>
        <w:t xml:space="preserve"> </w:t>
      </w:r>
      <w:r>
        <w:rPr>
          <w:color w:val="231F20"/>
        </w:rPr>
        <w:t>to</w:t>
      </w:r>
      <w:r w:rsidRPr="000261F3">
        <w:rPr>
          <w:color w:val="231F20"/>
        </w:rPr>
        <w:t xml:space="preserve"> </w:t>
      </w:r>
      <w:r>
        <w:rPr>
          <w:color w:val="231F20"/>
        </w:rPr>
        <w:t>show that there had been a full disclosure of all material facts to the attorney.</w:t>
      </w:r>
    </w:p>
    <w:p w14:paraId="46B74A2E" w14:textId="77777777" w:rsidR="009F430B" w:rsidRDefault="009F430B">
      <w:pPr>
        <w:rPr>
          <w:b/>
          <w:color w:val="231F20"/>
        </w:rPr>
      </w:pPr>
      <w:r>
        <w:rPr>
          <w:b/>
          <w:color w:val="231F20"/>
        </w:rPr>
        <w:br w:type="page"/>
      </w:r>
    </w:p>
    <w:p w14:paraId="70E15E9B" w14:textId="2D3433E3" w:rsidR="00613B2F" w:rsidRPr="00AF062B" w:rsidRDefault="00613B2F" w:rsidP="00AF062B">
      <w:pPr>
        <w:pStyle w:val="ListParagraph"/>
        <w:numPr>
          <w:ilvl w:val="0"/>
          <w:numId w:val="42"/>
        </w:numPr>
        <w:spacing w:before="96"/>
        <w:ind w:left="1170" w:hanging="450"/>
        <w:rPr>
          <w:b/>
        </w:rPr>
      </w:pPr>
      <w:r>
        <w:rPr>
          <w:b/>
          <w:color w:val="231F20"/>
        </w:rPr>
        <w:lastRenderedPageBreak/>
        <w:t>Definition</w:t>
      </w:r>
    </w:p>
    <w:p w14:paraId="5EDB24C9" w14:textId="30ACEA95" w:rsidR="00613B2F" w:rsidRDefault="00613B2F" w:rsidP="00AF062B">
      <w:pPr>
        <w:spacing w:before="135"/>
        <w:ind w:left="720"/>
      </w:pPr>
      <w:r w:rsidRPr="00AF062B">
        <w:rPr>
          <w:color w:val="231F20"/>
        </w:rPr>
        <w:t>2021—</w:t>
      </w:r>
      <w:r w:rsidRPr="00AF062B">
        <w:rPr>
          <w:i/>
          <w:color w:val="231F20"/>
        </w:rPr>
        <w:t xml:space="preserve">Dill </w:t>
      </w:r>
      <w:r w:rsidRPr="00AF062B">
        <w:rPr>
          <w:i/>
          <w:color w:val="231F20"/>
          <w:spacing w:val="-9"/>
        </w:rPr>
        <w:t xml:space="preserve">v. </w:t>
      </w:r>
      <w:r w:rsidRPr="00AF062B">
        <w:rPr>
          <w:i/>
          <w:color w:val="231F20"/>
        </w:rPr>
        <w:t>Kroger Limited Partnership</w:t>
      </w:r>
      <w:r w:rsidRPr="00AF062B">
        <w:rPr>
          <w:color w:val="231F20"/>
        </w:rPr>
        <w:t xml:space="preserve">, 300 </w:t>
      </w:r>
      <w:r w:rsidRPr="00AF062B">
        <w:rPr>
          <w:color w:val="231F20"/>
          <w:spacing w:val="-9"/>
        </w:rPr>
        <w:t xml:space="preserve">Va. </w:t>
      </w:r>
      <w:r w:rsidRPr="00AF062B">
        <w:rPr>
          <w:color w:val="231F20"/>
        </w:rPr>
        <w:t>99, 860 S.E.2d</w:t>
      </w:r>
      <w:r w:rsidRPr="00AF062B">
        <w:rPr>
          <w:color w:val="231F20"/>
          <w:spacing w:val="51"/>
        </w:rPr>
        <w:t xml:space="preserve"> </w:t>
      </w:r>
      <w:r w:rsidRPr="00AF062B">
        <w:rPr>
          <w:color w:val="231F20"/>
        </w:rPr>
        <w:t>372.</w:t>
      </w:r>
    </w:p>
    <w:p w14:paraId="603EE923" w14:textId="3F074C28" w:rsidR="00613B2F" w:rsidRDefault="00613B2F" w:rsidP="00AF062B">
      <w:pPr>
        <w:pStyle w:val="BodyText"/>
        <w:spacing w:before="120" w:after="120"/>
        <w:ind w:left="1440"/>
        <w:jc w:val="both"/>
        <w:rPr>
          <w:color w:val="231F20"/>
        </w:rPr>
      </w:pPr>
      <w:r>
        <w:rPr>
          <w:color w:val="231F20"/>
        </w:rPr>
        <w:t xml:space="preserve">Elements of malicious prosecution are that prosecution was malicious, instituted by or with cooperation of defendant, without probable cause and terminated </w:t>
      </w:r>
      <w:r w:rsidR="00AC3E44">
        <w:rPr>
          <w:color w:val="231F20"/>
        </w:rPr>
        <w:t>in a manner not unfavorable to the plaintiff.  Malice in this context is any controlling motive other than good faith desire to further ends of justice, enforce obedience to criminal laws, suppress crime or see that guilty are punished.  It need not be actual malice.  It may be based upon a history of animosity between the parties.  It may be based upon lack of probable cause.</w:t>
      </w:r>
    </w:p>
    <w:p w14:paraId="45E7FF50" w14:textId="3CBCACD9" w:rsidR="009910CD" w:rsidRDefault="00FC2690" w:rsidP="00AF062B">
      <w:pPr>
        <w:pStyle w:val="Heading4"/>
        <w:numPr>
          <w:ilvl w:val="0"/>
          <w:numId w:val="55"/>
        </w:numPr>
        <w:spacing w:before="79"/>
        <w:ind w:left="1260"/>
        <w:rPr>
          <w:b w:val="0"/>
          <w:color w:val="231F20"/>
        </w:rPr>
      </w:pPr>
      <w:r>
        <w:rPr>
          <w:color w:val="231F20"/>
        </w:rPr>
        <w:t>Instituting Criminal</w:t>
      </w:r>
      <w:r>
        <w:rPr>
          <w:color w:val="231F20"/>
          <w:spacing w:val="25"/>
        </w:rPr>
        <w:t xml:space="preserve"> </w:t>
      </w:r>
      <w:r>
        <w:rPr>
          <w:color w:val="231F20"/>
        </w:rPr>
        <w:t>Proceedings</w:t>
      </w:r>
    </w:p>
    <w:p w14:paraId="6AAAE12D" w14:textId="77777777" w:rsidR="00512ED8" w:rsidRPr="00AF062B" w:rsidRDefault="00512ED8" w:rsidP="00AF062B">
      <w:pPr>
        <w:spacing w:before="126"/>
        <w:ind w:left="720"/>
        <w:rPr>
          <w:color w:val="231F20"/>
        </w:rPr>
      </w:pPr>
      <w:r w:rsidRPr="00AF062B">
        <w:rPr>
          <w:color w:val="231F20"/>
        </w:rPr>
        <w:t>2021—</w:t>
      </w:r>
      <w:r w:rsidRPr="00AF062B">
        <w:rPr>
          <w:i/>
          <w:color w:val="231F20"/>
        </w:rPr>
        <w:t>Eubank v. Thomas</w:t>
      </w:r>
      <w:r w:rsidRPr="00AF062B">
        <w:rPr>
          <w:color w:val="231F20"/>
        </w:rPr>
        <w:t>, 300 Va. 201, 861 S.E.2d 397.</w:t>
      </w:r>
    </w:p>
    <w:p w14:paraId="388D63E0" w14:textId="66EF99F9" w:rsidR="00512ED8" w:rsidRPr="0075466D" w:rsidRDefault="00512ED8" w:rsidP="00AF062B">
      <w:pPr>
        <w:pStyle w:val="BodyText"/>
        <w:spacing w:before="120" w:after="120"/>
        <w:ind w:left="1545"/>
        <w:jc w:val="both"/>
        <w:rPr>
          <w:color w:val="231F20"/>
        </w:rPr>
      </w:pPr>
      <w:r>
        <w:rPr>
          <w:color w:val="231F20"/>
        </w:rPr>
        <w:t>The test of probable cause is whether the facts known or made known to the prosecutor are sufficient to justify a prudent and reasonable person in the belief that an accused is guilty of the crime charged.</w:t>
      </w:r>
    </w:p>
    <w:p w14:paraId="703A6B83" w14:textId="0F763C4D" w:rsidR="0036565B" w:rsidRDefault="0036565B" w:rsidP="0036565B">
      <w:pPr>
        <w:spacing w:before="135"/>
        <w:ind w:left="720"/>
      </w:pPr>
      <w:r>
        <w:rPr>
          <w:color w:val="231F20"/>
        </w:rPr>
        <w:t>2011—</w:t>
      </w:r>
      <w:r>
        <w:rPr>
          <w:i/>
          <w:color w:val="231F20"/>
        </w:rPr>
        <w:t xml:space="preserve">Lewis </w:t>
      </w:r>
      <w:r>
        <w:rPr>
          <w:i/>
          <w:color w:val="231F20"/>
          <w:spacing w:val="-9"/>
        </w:rPr>
        <w:t xml:space="preserve">v. </w:t>
      </w:r>
      <w:r>
        <w:rPr>
          <w:i/>
          <w:color w:val="231F20"/>
        </w:rPr>
        <w:t>Kei</w:t>
      </w:r>
      <w:r>
        <w:rPr>
          <w:color w:val="231F20"/>
        </w:rPr>
        <w:t xml:space="preserve">, 281 </w:t>
      </w:r>
      <w:r>
        <w:rPr>
          <w:color w:val="231F20"/>
          <w:spacing w:val="-9"/>
        </w:rPr>
        <w:t xml:space="preserve">Va. </w:t>
      </w:r>
      <w:r>
        <w:rPr>
          <w:color w:val="231F20"/>
        </w:rPr>
        <w:t>715, 708 S.E.2d</w:t>
      </w:r>
      <w:r>
        <w:rPr>
          <w:color w:val="231F20"/>
          <w:spacing w:val="51"/>
        </w:rPr>
        <w:t xml:space="preserve"> </w:t>
      </w:r>
      <w:r>
        <w:rPr>
          <w:color w:val="231F20"/>
        </w:rPr>
        <w:t>884.</w:t>
      </w:r>
    </w:p>
    <w:p w14:paraId="0C3B7D6D" w14:textId="77777777" w:rsidR="0036565B" w:rsidRPr="00547312" w:rsidRDefault="0036565B" w:rsidP="0036565B">
      <w:pPr>
        <w:pStyle w:val="BodyText"/>
        <w:spacing w:before="120" w:after="120"/>
        <w:ind w:left="1440"/>
        <w:jc w:val="both"/>
        <w:rPr>
          <w:color w:val="231F20"/>
        </w:rPr>
      </w:pPr>
      <w:r>
        <w:rPr>
          <w:color w:val="231F20"/>
        </w:rPr>
        <w:t>Police officer obtained a warrant for arrest of plaintiff for attempted abduction of a 10-year-old child based upon citizen’s complaint which ultimately proved to be unfounded.  Based on those facts, the officer had probable cause to seek the arrest warrant and therefore demurrer to malicious prosecution claim was properly granted. Likewise, the finding of probable cause defeats the claim for false imprisonment. The police officer, however, did make several false statements about the plaintiff relating to the facts of the matter thereby accusing him of the commission of a criminal offense constituting defamation per se.</w:t>
      </w:r>
    </w:p>
    <w:p w14:paraId="61476363" w14:textId="77777777" w:rsidR="0036565B" w:rsidRDefault="0036565B">
      <w:pPr>
        <w:rPr>
          <w:b/>
          <w:color w:val="231F20"/>
          <w:sz w:val="40"/>
        </w:rPr>
      </w:pPr>
      <w:r>
        <w:rPr>
          <w:b/>
          <w:color w:val="231F20"/>
          <w:sz w:val="40"/>
        </w:rPr>
        <w:br w:type="page"/>
      </w:r>
    </w:p>
    <w:p w14:paraId="0ABCADED" w14:textId="77777777" w:rsidR="00476EC5" w:rsidRDefault="009F1FDE" w:rsidP="00476EC5">
      <w:pPr>
        <w:spacing w:before="155" w:line="328" w:lineRule="auto"/>
        <w:ind w:firstLine="17"/>
        <w:jc w:val="center"/>
        <w:rPr>
          <w:b/>
          <w:color w:val="231F20"/>
          <w:sz w:val="40"/>
        </w:rPr>
      </w:pPr>
      <w:r>
        <w:rPr>
          <w:b/>
          <w:color w:val="231F20"/>
          <w:sz w:val="40"/>
        </w:rPr>
        <w:lastRenderedPageBreak/>
        <w:t xml:space="preserve">Chapter 17 </w:t>
      </w:r>
    </w:p>
    <w:p w14:paraId="0369123A" w14:textId="77777777" w:rsidR="009910CD" w:rsidRDefault="00FC2690" w:rsidP="00476EC5">
      <w:pPr>
        <w:spacing w:before="155" w:line="328" w:lineRule="auto"/>
        <w:ind w:firstLine="17"/>
        <w:jc w:val="center"/>
        <w:rPr>
          <w:b/>
          <w:color w:val="231F20"/>
          <w:w w:val="95"/>
          <w:sz w:val="40"/>
        </w:rPr>
      </w:pPr>
      <w:r>
        <w:rPr>
          <w:b/>
          <w:color w:val="231F20"/>
          <w:w w:val="95"/>
          <w:sz w:val="40"/>
        </w:rPr>
        <w:t>EVIDENCE</w:t>
      </w:r>
    </w:p>
    <w:p w14:paraId="70ECE63A" w14:textId="77777777" w:rsidR="00641316" w:rsidRPr="00ED1338" w:rsidRDefault="00641316" w:rsidP="00641316">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17.01</w:t>
      </w:r>
      <w:r>
        <w:rPr>
          <w:color w:val="231F20"/>
        </w:rPr>
        <w:tab/>
        <w:t>Accidents</w:t>
      </w:r>
    </w:p>
    <w:p w14:paraId="4B4930E3" w14:textId="2D3FDEDE" w:rsidR="00F075E1" w:rsidRPr="00F075E1" w:rsidRDefault="00F075E1" w:rsidP="00AF062B">
      <w:pPr>
        <w:tabs>
          <w:tab w:val="left" w:pos="2340"/>
        </w:tabs>
        <w:spacing w:before="141" w:line="250" w:lineRule="exact"/>
        <w:ind w:left="1170" w:right="1127" w:hanging="450"/>
        <w:rPr>
          <w:b/>
          <w:color w:val="231F20"/>
        </w:rPr>
      </w:pPr>
      <w:r w:rsidRPr="00F075E1">
        <w:rPr>
          <w:b/>
          <w:color w:val="231F20"/>
        </w:rPr>
        <w:t>[1]</w:t>
      </w:r>
      <w:r w:rsidRPr="00F075E1">
        <w:rPr>
          <w:b/>
          <w:color w:val="231F20"/>
        </w:rPr>
        <w:tab/>
        <w:t>Absence of Accidents</w:t>
      </w:r>
    </w:p>
    <w:p w14:paraId="51E54B02" w14:textId="77777777" w:rsidR="00F075E1" w:rsidRDefault="00F075E1" w:rsidP="0094400D">
      <w:pPr>
        <w:spacing w:before="141" w:line="250" w:lineRule="exact"/>
        <w:ind w:left="720" w:right="1127"/>
      </w:pPr>
      <w:r>
        <w:rPr>
          <w:color w:val="231F20"/>
        </w:rPr>
        <w:t>2016—</w:t>
      </w:r>
      <w:r w:rsidR="002C3D7B">
        <w:rPr>
          <w:i/>
          <w:color w:val="231F20"/>
        </w:rPr>
        <w:t>Dorman</w:t>
      </w:r>
      <w:r>
        <w:rPr>
          <w:i/>
          <w:color w:val="231F20"/>
        </w:rPr>
        <w:t xml:space="preserve"> v. </w:t>
      </w:r>
      <w:r w:rsidR="002C3D7B">
        <w:rPr>
          <w:i/>
          <w:color w:val="231F20"/>
        </w:rPr>
        <w:t>State Industries, Inc.</w:t>
      </w:r>
      <w:r>
        <w:rPr>
          <w:color w:val="231F20"/>
        </w:rPr>
        <w:t xml:space="preserve">, </w:t>
      </w:r>
      <w:r w:rsidR="002C3D7B">
        <w:rPr>
          <w:color w:val="231F20"/>
        </w:rPr>
        <w:t>292</w:t>
      </w:r>
      <w:r>
        <w:rPr>
          <w:color w:val="231F20"/>
        </w:rPr>
        <w:t xml:space="preserve"> Va. </w:t>
      </w:r>
      <w:r w:rsidR="002C3D7B">
        <w:rPr>
          <w:color w:val="231F20"/>
        </w:rPr>
        <w:t>111</w:t>
      </w:r>
      <w:r>
        <w:rPr>
          <w:color w:val="231F20"/>
        </w:rPr>
        <w:t xml:space="preserve">, </w:t>
      </w:r>
      <w:r w:rsidR="002C3D7B">
        <w:rPr>
          <w:color w:val="231F20"/>
        </w:rPr>
        <w:t>787</w:t>
      </w:r>
      <w:r>
        <w:rPr>
          <w:color w:val="231F20"/>
        </w:rPr>
        <w:t xml:space="preserve"> S.E.2d </w:t>
      </w:r>
      <w:r w:rsidR="002C3D7B">
        <w:rPr>
          <w:color w:val="231F20"/>
        </w:rPr>
        <w:t>132</w:t>
      </w:r>
      <w:r>
        <w:rPr>
          <w:color w:val="231F20"/>
        </w:rPr>
        <w:t>.</w:t>
      </w:r>
    </w:p>
    <w:p w14:paraId="647B5DB2" w14:textId="77777777" w:rsidR="00F075E1" w:rsidRPr="000261F3" w:rsidRDefault="00F22A8C" w:rsidP="000261F3">
      <w:pPr>
        <w:pStyle w:val="BodyText"/>
        <w:spacing w:before="120" w:after="120"/>
        <w:ind w:left="1440"/>
        <w:jc w:val="both"/>
        <w:rPr>
          <w:color w:val="231F20"/>
        </w:rPr>
      </w:pPr>
      <w:r>
        <w:rPr>
          <w:color w:val="231F20"/>
        </w:rPr>
        <w:t xml:space="preserve">Witness testified to the number of atmospheric heaters that had been sold and were operating in the United States.  There was no timely objection by plaintiff’s counsel.  Evidence was relevant to the question of whether or not the heaters breached an implied warranty of merchantability and whether or not they were unreasonably dangerous.  </w:t>
      </w:r>
    </w:p>
    <w:p w14:paraId="6BC66AED" w14:textId="0655C2EB" w:rsidR="00F075E1" w:rsidRPr="00F075E1" w:rsidRDefault="00F075E1" w:rsidP="00AF062B">
      <w:pPr>
        <w:tabs>
          <w:tab w:val="left" w:pos="2340"/>
        </w:tabs>
        <w:spacing w:before="141" w:line="250" w:lineRule="exact"/>
        <w:ind w:left="1170" w:right="1127" w:hanging="450"/>
        <w:rPr>
          <w:b/>
          <w:color w:val="231F20"/>
        </w:rPr>
      </w:pPr>
      <w:r w:rsidRPr="00F075E1">
        <w:rPr>
          <w:b/>
          <w:color w:val="231F20"/>
        </w:rPr>
        <w:t>[2]</w:t>
      </w:r>
      <w:r w:rsidRPr="00F075E1">
        <w:rPr>
          <w:b/>
          <w:color w:val="231F20"/>
        </w:rPr>
        <w:tab/>
        <w:t xml:space="preserve">Prior Accidents </w:t>
      </w:r>
    </w:p>
    <w:p w14:paraId="3600EA34" w14:textId="77777777" w:rsidR="009910CD" w:rsidRDefault="00FC2690" w:rsidP="0094400D">
      <w:pPr>
        <w:spacing w:before="141" w:line="250" w:lineRule="exact"/>
        <w:ind w:left="720" w:right="1127"/>
      </w:pPr>
      <w:r>
        <w:rPr>
          <w:color w:val="231F20"/>
        </w:rPr>
        <w:t>2012—</w:t>
      </w:r>
      <w:r>
        <w:rPr>
          <w:i/>
          <w:color w:val="231F20"/>
        </w:rPr>
        <w:t>Funkhouser v. Ford Motor Company</w:t>
      </w:r>
      <w:r>
        <w:rPr>
          <w:color w:val="231F20"/>
        </w:rPr>
        <w:t>, 285 Va. 272, 736 S.E.2d 309.</w:t>
      </w:r>
    </w:p>
    <w:p w14:paraId="5C259A24" w14:textId="77777777" w:rsidR="009910CD" w:rsidRPr="000261F3" w:rsidRDefault="00FC2690" w:rsidP="000261F3">
      <w:pPr>
        <w:pStyle w:val="BodyText"/>
        <w:spacing w:before="120" w:after="120"/>
        <w:ind w:left="1440"/>
        <w:jc w:val="both"/>
        <w:rPr>
          <w:color w:val="231F20"/>
        </w:rPr>
      </w:pPr>
      <w:r>
        <w:rPr>
          <w:color w:val="231F20"/>
        </w:rPr>
        <w:t>In this products liability action on re-hearing plaintiff’s expert was properly precluded from relying upon seven (7) other fires in other vehicles</w:t>
      </w:r>
      <w:r w:rsidRPr="000261F3">
        <w:rPr>
          <w:color w:val="231F20"/>
        </w:rPr>
        <w:t xml:space="preserve"> </w:t>
      </w:r>
      <w:r>
        <w:rPr>
          <w:color w:val="231F20"/>
        </w:rPr>
        <w:t>since</w:t>
      </w:r>
      <w:r w:rsidRPr="000261F3">
        <w:rPr>
          <w:color w:val="231F20"/>
        </w:rPr>
        <w:t xml:space="preserve"> </w:t>
      </w:r>
      <w:r>
        <w:rPr>
          <w:color w:val="231F20"/>
        </w:rPr>
        <w:t>they</w:t>
      </w:r>
      <w:r w:rsidRPr="000261F3">
        <w:rPr>
          <w:color w:val="231F20"/>
        </w:rPr>
        <w:t xml:space="preserve"> </w:t>
      </w:r>
      <w:r>
        <w:rPr>
          <w:color w:val="231F20"/>
        </w:rPr>
        <w:t>were</w:t>
      </w:r>
      <w:r w:rsidRPr="000261F3">
        <w:rPr>
          <w:color w:val="231F20"/>
        </w:rPr>
        <w:t xml:space="preserve"> </w:t>
      </w:r>
      <w:r>
        <w:rPr>
          <w:color w:val="231F20"/>
        </w:rPr>
        <w:t>not</w:t>
      </w:r>
      <w:r w:rsidRPr="000261F3">
        <w:rPr>
          <w:color w:val="231F20"/>
        </w:rPr>
        <w:t xml:space="preserve"> </w:t>
      </w:r>
      <w:r>
        <w:rPr>
          <w:color w:val="231F20"/>
        </w:rPr>
        <w:t>substantially</w:t>
      </w:r>
      <w:r w:rsidRPr="000261F3">
        <w:rPr>
          <w:color w:val="231F20"/>
        </w:rPr>
        <w:t xml:space="preserve"> </w:t>
      </w:r>
      <w:r>
        <w:rPr>
          <w:color w:val="231F20"/>
        </w:rPr>
        <w:t>similar</w:t>
      </w:r>
      <w:r w:rsidRPr="000261F3">
        <w:rPr>
          <w:color w:val="231F20"/>
        </w:rPr>
        <w:t xml:space="preserve"> </w:t>
      </w:r>
      <w:r>
        <w:rPr>
          <w:color w:val="231F20"/>
        </w:rPr>
        <w:t>to</w:t>
      </w:r>
      <w:r w:rsidRPr="000261F3">
        <w:rPr>
          <w:color w:val="231F20"/>
        </w:rPr>
        <w:t xml:space="preserve"> </w:t>
      </w:r>
      <w:r>
        <w:rPr>
          <w:color w:val="231F20"/>
        </w:rPr>
        <w:t>the</w:t>
      </w:r>
      <w:r w:rsidRPr="000261F3">
        <w:rPr>
          <w:color w:val="231F20"/>
        </w:rPr>
        <w:t xml:space="preserve"> </w:t>
      </w:r>
      <w:r>
        <w:rPr>
          <w:color w:val="231F20"/>
        </w:rPr>
        <w:t>present</w:t>
      </w:r>
      <w:r w:rsidRPr="000261F3">
        <w:rPr>
          <w:color w:val="231F20"/>
        </w:rPr>
        <w:t xml:space="preserve"> </w:t>
      </w:r>
      <w:r>
        <w:rPr>
          <w:color w:val="231F20"/>
        </w:rPr>
        <w:t xml:space="preserve">case. Although expert may rely on inadmissible material in forming an opinion, the expert cannot offer </w:t>
      </w:r>
      <w:r w:rsidR="00103F1A">
        <w:rPr>
          <w:color w:val="231F20"/>
        </w:rPr>
        <w:t>opinion testimony based on evi</w:t>
      </w:r>
      <w:r>
        <w:rPr>
          <w:color w:val="231F20"/>
        </w:rPr>
        <w:t>dence that fails that substantial similarity</w:t>
      </w:r>
      <w:r w:rsidR="00B64C57">
        <w:rPr>
          <w:color w:val="231F20"/>
        </w:rPr>
        <w:t xml:space="preserve"> </w:t>
      </w:r>
      <w:r>
        <w:rPr>
          <w:color w:val="231F20"/>
        </w:rPr>
        <w:t>test.</w:t>
      </w:r>
    </w:p>
    <w:p w14:paraId="29973B55" w14:textId="77777777" w:rsidR="009910CD" w:rsidRDefault="00FC2690" w:rsidP="009C32E1">
      <w:pPr>
        <w:spacing w:before="126" w:line="250" w:lineRule="exact"/>
        <w:ind w:left="720" w:right="360"/>
      </w:pPr>
      <w:r>
        <w:rPr>
          <w:color w:val="231F20"/>
        </w:rPr>
        <w:t>2012—</w:t>
      </w:r>
      <w:r>
        <w:rPr>
          <w:i/>
          <w:color w:val="231F20"/>
        </w:rPr>
        <w:t>Funkhouser v. Ford Motor Company</w:t>
      </w:r>
      <w:r>
        <w:rPr>
          <w:color w:val="231F20"/>
        </w:rPr>
        <w:t>, 284 Va. 214, S.E.2d, 726 S.E.2d 302.</w:t>
      </w:r>
    </w:p>
    <w:p w14:paraId="29CC0711" w14:textId="77777777" w:rsidR="009910CD" w:rsidRPr="000261F3" w:rsidRDefault="00FC2690" w:rsidP="000261F3">
      <w:pPr>
        <w:pStyle w:val="BodyText"/>
        <w:spacing w:before="120" w:after="120"/>
        <w:ind w:left="1440"/>
        <w:jc w:val="both"/>
        <w:rPr>
          <w:color w:val="231F20"/>
        </w:rPr>
      </w:pPr>
      <w:r>
        <w:rPr>
          <w:color w:val="231F20"/>
        </w:rPr>
        <w:t>In this product liability action alleging failure to warn of dangers of dashboard electrical fires, the issue of the admissibility of other van fires</w:t>
      </w:r>
      <w:r w:rsidRPr="000261F3">
        <w:rPr>
          <w:color w:val="231F20"/>
        </w:rPr>
        <w:t xml:space="preserve"> </w:t>
      </w:r>
      <w:r>
        <w:rPr>
          <w:color w:val="231F20"/>
        </w:rPr>
        <w:t>is</w:t>
      </w:r>
      <w:r w:rsidRPr="000261F3">
        <w:rPr>
          <w:color w:val="231F20"/>
        </w:rPr>
        <w:t xml:space="preserve"> </w:t>
      </w:r>
      <w:r>
        <w:rPr>
          <w:color w:val="231F20"/>
        </w:rPr>
        <w:t>governed</w:t>
      </w:r>
      <w:r w:rsidRPr="000261F3">
        <w:rPr>
          <w:color w:val="231F20"/>
        </w:rPr>
        <w:t xml:space="preserve"> </w:t>
      </w:r>
      <w:r>
        <w:rPr>
          <w:color w:val="231F20"/>
        </w:rPr>
        <w:t>by</w:t>
      </w:r>
      <w:r w:rsidRPr="000261F3">
        <w:rPr>
          <w:color w:val="231F20"/>
        </w:rPr>
        <w:t xml:space="preserve"> </w:t>
      </w:r>
      <w:r>
        <w:rPr>
          <w:color w:val="231F20"/>
        </w:rPr>
        <w:t>whether</w:t>
      </w:r>
      <w:r w:rsidRPr="000261F3">
        <w:rPr>
          <w:color w:val="231F20"/>
        </w:rPr>
        <w:t xml:space="preserve"> </w:t>
      </w:r>
      <w:r>
        <w:rPr>
          <w:color w:val="231F20"/>
        </w:rPr>
        <w:t>or</w:t>
      </w:r>
      <w:r w:rsidRPr="000261F3">
        <w:rPr>
          <w:color w:val="231F20"/>
        </w:rPr>
        <w:t xml:space="preserve"> </w:t>
      </w:r>
      <w:r>
        <w:rPr>
          <w:color w:val="231F20"/>
        </w:rPr>
        <w:t>not</w:t>
      </w:r>
      <w:r w:rsidRPr="000261F3">
        <w:rPr>
          <w:color w:val="231F20"/>
        </w:rPr>
        <w:t xml:space="preserve"> </w:t>
      </w:r>
      <w:r>
        <w:rPr>
          <w:color w:val="231F20"/>
        </w:rPr>
        <w:t>they</w:t>
      </w:r>
      <w:r w:rsidRPr="000261F3">
        <w:rPr>
          <w:color w:val="231F20"/>
        </w:rPr>
        <w:t xml:space="preserve"> </w:t>
      </w:r>
      <w:r>
        <w:rPr>
          <w:color w:val="231F20"/>
        </w:rPr>
        <w:t>occurred</w:t>
      </w:r>
      <w:r w:rsidRPr="000261F3">
        <w:rPr>
          <w:color w:val="231F20"/>
        </w:rPr>
        <w:t xml:space="preserve"> </w:t>
      </w:r>
      <w:r>
        <w:rPr>
          <w:color w:val="231F20"/>
        </w:rPr>
        <w:t>under</w:t>
      </w:r>
      <w:r w:rsidRPr="000261F3">
        <w:rPr>
          <w:color w:val="231F20"/>
        </w:rPr>
        <w:t xml:space="preserve"> </w:t>
      </w:r>
      <w:r>
        <w:rPr>
          <w:color w:val="231F20"/>
        </w:rPr>
        <w:t>substantially the same circumstances and were caused by the same or similar defects and dangers as those alleged in the present</w:t>
      </w:r>
      <w:r w:rsidR="00B64C57">
        <w:rPr>
          <w:color w:val="231F20"/>
        </w:rPr>
        <w:t xml:space="preserve"> </w:t>
      </w:r>
      <w:r>
        <w:rPr>
          <w:color w:val="231F20"/>
        </w:rPr>
        <w:t>fire.</w:t>
      </w:r>
    </w:p>
    <w:p w14:paraId="1337F331"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17.03</w:t>
      </w:r>
      <w:r>
        <w:rPr>
          <w:color w:val="231F20"/>
        </w:rPr>
        <w:tab/>
        <w:t>After-Discovered</w:t>
      </w:r>
      <w:r w:rsidRPr="00ED1338">
        <w:rPr>
          <w:color w:val="231F20"/>
        </w:rPr>
        <w:t xml:space="preserve"> </w:t>
      </w:r>
      <w:r>
        <w:rPr>
          <w:color w:val="231F20"/>
        </w:rPr>
        <w:t>Evidence</w:t>
      </w:r>
    </w:p>
    <w:p w14:paraId="6479545F" w14:textId="77777777" w:rsidR="009910CD" w:rsidRDefault="00FC2690" w:rsidP="0094400D">
      <w:pPr>
        <w:spacing w:before="125"/>
        <w:ind w:left="720"/>
      </w:pPr>
      <w:r>
        <w:rPr>
          <w:color w:val="231F20"/>
        </w:rPr>
        <w:t>2010—</w:t>
      </w:r>
      <w:r>
        <w:rPr>
          <w:i/>
          <w:color w:val="231F20"/>
        </w:rPr>
        <w:t>Hawthorne v.</w:t>
      </w:r>
      <w:r w:rsidR="00B64C57">
        <w:rPr>
          <w:i/>
          <w:color w:val="231F20"/>
        </w:rPr>
        <w:t xml:space="preserve"> </w:t>
      </w:r>
      <w:r>
        <w:rPr>
          <w:i/>
          <w:color w:val="231F20"/>
        </w:rPr>
        <w:t>VanMarter</w:t>
      </w:r>
      <w:r>
        <w:rPr>
          <w:color w:val="231F20"/>
        </w:rPr>
        <w:t>, 279 Va.</w:t>
      </w:r>
      <w:r w:rsidR="00B64C57">
        <w:rPr>
          <w:color w:val="231F20"/>
        </w:rPr>
        <w:t xml:space="preserve"> </w:t>
      </w:r>
      <w:r>
        <w:rPr>
          <w:color w:val="231F20"/>
        </w:rPr>
        <w:t>566, 692 S.E.2d</w:t>
      </w:r>
      <w:r w:rsidR="00B64C57">
        <w:rPr>
          <w:color w:val="231F20"/>
        </w:rPr>
        <w:t xml:space="preserve"> </w:t>
      </w:r>
      <w:r>
        <w:rPr>
          <w:color w:val="231F20"/>
        </w:rPr>
        <w:t>226.</w:t>
      </w:r>
    </w:p>
    <w:p w14:paraId="1DA6BBD9" w14:textId="77777777" w:rsidR="009910CD" w:rsidRPr="000261F3" w:rsidRDefault="00FC2690" w:rsidP="000261F3">
      <w:pPr>
        <w:pStyle w:val="BodyText"/>
        <w:spacing w:before="120" w:after="120"/>
        <w:ind w:left="1440"/>
        <w:jc w:val="both"/>
        <w:rPr>
          <w:color w:val="231F20"/>
        </w:rPr>
      </w:pPr>
      <w:r>
        <w:rPr>
          <w:color w:val="231F20"/>
        </w:rPr>
        <w:t>The after discovered evidence requirements have not been satisfied where witnesses that held the evidence had been identified prior to the hearing in question and it was only after the hearing that their depositions were taken and information was discovered. That is not after discovered evidence.</w:t>
      </w:r>
    </w:p>
    <w:p w14:paraId="20812690"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17.23</w:t>
      </w:r>
      <w:r>
        <w:rPr>
          <w:color w:val="231F20"/>
        </w:rPr>
        <w:tab/>
        <w:t>Dead Man’s</w:t>
      </w:r>
      <w:r w:rsidRPr="00ED1338">
        <w:rPr>
          <w:color w:val="231F20"/>
        </w:rPr>
        <w:t xml:space="preserve"> </w:t>
      </w:r>
      <w:r>
        <w:rPr>
          <w:color w:val="231F20"/>
        </w:rPr>
        <w:t>Act</w:t>
      </w:r>
    </w:p>
    <w:p w14:paraId="7E3D92D3" w14:textId="5BF2A2CA" w:rsidR="00FA624D" w:rsidRDefault="00FA624D" w:rsidP="00FA624D">
      <w:pPr>
        <w:spacing w:before="125"/>
        <w:ind w:left="720"/>
      </w:pPr>
      <w:r>
        <w:rPr>
          <w:color w:val="231F20"/>
        </w:rPr>
        <w:t>2018—</w:t>
      </w:r>
      <w:r>
        <w:rPr>
          <w:i/>
          <w:color w:val="231F20"/>
        </w:rPr>
        <w:t>Shumate v. Mitchell</w:t>
      </w:r>
      <w:r>
        <w:rPr>
          <w:color w:val="231F20"/>
        </w:rPr>
        <w:t>, 296 Va. 532, 822 S.E.2d 9.</w:t>
      </w:r>
    </w:p>
    <w:p w14:paraId="1B36B1D9" w14:textId="50DB3AE7" w:rsidR="00FA624D" w:rsidRPr="000261F3" w:rsidRDefault="00FA624D" w:rsidP="00FA624D">
      <w:pPr>
        <w:pStyle w:val="BodyText"/>
        <w:spacing w:before="120" w:after="120"/>
        <w:ind w:left="1440"/>
        <w:jc w:val="both"/>
        <w:rPr>
          <w:color w:val="231F20"/>
        </w:rPr>
      </w:pPr>
      <w:r>
        <w:rPr>
          <w:color w:val="231F20"/>
        </w:rPr>
        <w:t>The statements of the dead man do not need to be corroborated.  The thrust of the Dead Man’s Act is that no judgment may be rendered for a testifying survivor unless that testimony is corroborated.  This corroboration requirement does not apply when another interested party whose interest derives from the decedent testifies on that person’s behalf.  The second part of the statute is that any relevant hearsay declaration of the decedent is admissible.</w:t>
      </w:r>
    </w:p>
    <w:p w14:paraId="15B114AB" w14:textId="77777777" w:rsidR="009910CD" w:rsidRDefault="00FC2690" w:rsidP="0094400D">
      <w:pPr>
        <w:spacing w:before="125"/>
        <w:ind w:left="720"/>
      </w:pPr>
      <w:r>
        <w:rPr>
          <w:color w:val="231F20"/>
        </w:rPr>
        <w:t>2010—</w:t>
      </w:r>
      <w:r>
        <w:rPr>
          <w:i/>
          <w:color w:val="231F20"/>
        </w:rPr>
        <w:t>Jones v.</w:t>
      </w:r>
      <w:r w:rsidR="00B64C57">
        <w:rPr>
          <w:i/>
          <w:color w:val="231F20"/>
        </w:rPr>
        <w:t xml:space="preserve"> </w:t>
      </w:r>
      <w:r>
        <w:rPr>
          <w:i/>
          <w:color w:val="231F20"/>
        </w:rPr>
        <w:t>Williams</w:t>
      </w:r>
      <w:r>
        <w:rPr>
          <w:color w:val="231F20"/>
        </w:rPr>
        <w:t>, 280 Va.</w:t>
      </w:r>
      <w:r w:rsidR="00B64C57">
        <w:rPr>
          <w:color w:val="231F20"/>
        </w:rPr>
        <w:t xml:space="preserve"> </w:t>
      </w:r>
      <w:r>
        <w:rPr>
          <w:color w:val="231F20"/>
        </w:rPr>
        <w:t>635, 701 S.E.2d 405.</w:t>
      </w:r>
    </w:p>
    <w:p w14:paraId="457299FF" w14:textId="77777777" w:rsidR="009910CD" w:rsidRPr="000261F3" w:rsidRDefault="00FC2690" w:rsidP="000261F3">
      <w:pPr>
        <w:pStyle w:val="BodyText"/>
        <w:spacing w:before="120" w:after="120"/>
        <w:ind w:left="1440"/>
        <w:jc w:val="both"/>
        <w:rPr>
          <w:color w:val="231F20"/>
        </w:rPr>
      </w:pPr>
      <w:r>
        <w:rPr>
          <w:color w:val="231F20"/>
        </w:rPr>
        <w:t xml:space="preserve">In this medical malpractice action </w:t>
      </w:r>
      <w:r w:rsidR="00491BEF">
        <w:rPr>
          <w:color w:val="231F20"/>
        </w:rPr>
        <w:t>against deceased doctor, testi</w:t>
      </w:r>
      <w:r>
        <w:rPr>
          <w:color w:val="231F20"/>
        </w:rPr>
        <w:t>mony of nurse on behalf of plaintiff did not require corroboration under the Dead Man’s Act since corroboration only applies as to an interested party. The nurse was not an interested</w:t>
      </w:r>
      <w:r w:rsidR="00B64C57">
        <w:rPr>
          <w:color w:val="231F20"/>
        </w:rPr>
        <w:t xml:space="preserve"> </w:t>
      </w:r>
      <w:r>
        <w:rPr>
          <w:color w:val="231F20"/>
        </w:rPr>
        <w:t>party.</w:t>
      </w:r>
    </w:p>
    <w:p w14:paraId="351566F7" w14:textId="77777777" w:rsidR="00A01B9B" w:rsidRDefault="00A01B9B" w:rsidP="00ED1338">
      <w:pPr>
        <w:pStyle w:val="Heading4"/>
        <w:tabs>
          <w:tab w:val="left" w:pos="720"/>
        </w:tabs>
        <w:spacing w:before="0" w:line="241" w:lineRule="exact"/>
        <w:ind w:left="0"/>
        <w:rPr>
          <w:color w:val="231F20"/>
        </w:rPr>
      </w:pPr>
    </w:p>
    <w:p w14:paraId="588A961D" w14:textId="0303B604" w:rsidR="009910CD" w:rsidRPr="00ED1338" w:rsidRDefault="00FC2690" w:rsidP="00ED1338">
      <w:pPr>
        <w:pStyle w:val="Heading4"/>
        <w:tabs>
          <w:tab w:val="left" w:pos="720"/>
        </w:tabs>
        <w:spacing w:before="0" w:line="241" w:lineRule="exact"/>
        <w:ind w:left="0"/>
        <w:rPr>
          <w:color w:val="231F20"/>
        </w:rPr>
      </w:pPr>
      <w:r>
        <w:rPr>
          <w:color w:val="231F20"/>
        </w:rPr>
        <w:lastRenderedPageBreak/>
        <w:t>§</w:t>
      </w:r>
      <w:r w:rsidRPr="00ED1338">
        <w:rPr>
          <w:color w:val="231F20"/>
        </w:rPr>
        <w:t xml:space="preserve"> </w:t>
      </w:r>
      <w:r>
        <w:rPr>
          <w:color w:val="231F20"/>
        </w:rPr>
        <w:t>17.29</w:t>
      </w:r>
      <w:r>
        <w:rPr>
          <w:color w:val="231F20"/>
        </w:rPr>
        <w:tab/>
        <w:t>Expert</w:t>
      </w:r>
      <w:r w:rsidRPr="00ED1338">
        <w:rPr>
          <w:color w:val="231F20"/>
        </w:rPr>
        <w:t xml:space="preserve"> Testimony</w:t>
      </w:r>
    </w:p>
    <w:p w14:paraId="57ADC581" w14:textId="77777777" w:rsidR="009910CD" w:rsidRDefault="00FC2690" w:rsidP="00AF062B">
      <w:pPr>
        <w:pStyle w:val="ListParagraph"/>
        <w:numPr>
          <w:ilvl w:val="0"/>
          <w:numId w:val="8"/>
        </w:numPr>
        <w:spacing w:before="86"/>
        <w:ind w:left="1170" w:hanging="450"/>
        <w:jc w:val="left"/>
        <w:rPr>
          <w:b/>
        </w:rPr>
      </w:pPr>
      <w:r>
        <w:rPr>
          <w:b/>
          <w:color w:val="231F20"/>
        </w:rPr>
        <w:t>Adequate Basis for</w:t>
      </w:r>
      <w:r>
        <w:rPr>
          <w:b/>
          <w:color w:val="231F20"/>
          <w:spacing w:val="31"/>
        </w:rPr>
        <w:t xml:space="preserve"> </w:t>
      </w:r>
      <w:r>
        <w:rPr>
          <w:b/>
          <w:color w:val="231F20"/>
        </w:rPr>
        <w:t>Admissibility</w:t>
      </w:r>
    </w:p>
    <w:p w14:paraId="407EC014" w14:textId="7CA934B0" w:rsidR="000C07B6" w:rsidRDefault="008001E6" w:rsidP="00DF5F80">
      <w:pPr>
        <w:pStyle w:val="BodyText"/>
        <w:spacing w:before="65" w:line="247" w:lineRule="auto"/>
        <w:ind w:left="1440" w:right="1042"/>
        <w:jc w:val="both"/>
        <w:rPr>
          <w:color w:val="231F20"/>
        </w:rPr>
      </w:pPr>
      <w:r w:rsidRPr="002F24E0">
        <w:rPr>
          <w:i/>
          <w:iCs/>
          <w:color w:val="231F20"/>
        </w:rPr>
        <w:t>See</w:t>
      </w:r>
      <w:r>
        <w:rPr>
          <w:color w:val="231F20"/>
        </w:rPr>
        <w:t xml:space="preserve"> </w:t>
      </w:r>
      <w:r w:rsidR="002F24E0">
        <w:rPr>
          <w:iCs/>
          <w:color w:val="231F20"/>
        </w:rPr>
        <w:t xml:space="preserve">Va. Code </w:t>
      </w:r>
      <w:r w:rsidR="000C07B6">
        <w:rPr>
          <w:color w:val="231F20"/>
        </w:rPr>
        <w:t>§ 8.01-20.1 and 50.1 as to certification of expert witness at time of service.</w:t>
      </w:r>
    </w:p>
    <w:p w14:paraId="5DDB5D98" w14:textId="30C12667" w:rsidR="00F306AA" w:rsidRPr="00A03A9B" w:rsidRDefault="00F306AA" w:rsidP="00F306AA">
      <w:pPr>
        <w:spacing w:before="126"/>
        <w:ind w:left="720"/>
        <w:jc w:val="both"/>
        <w:rPr>
          <w:color w:val="231F20"/>
        </w:rPr>
      </w:pPr>
      <w:r w:rsidRPr="00A03A9B">
        <w:rPr>
          <w:color w:val="231F20"/>
        </w:rPr>
        <w:t>20</w:t>
      </w:r>
      <w:r>
        <w:rPr>
          <w:color w:val="231F20"/>
        </w:rPr>
        <w:t>21</w:t>
      </w:r>
      <w:r w:rsidRPr="00A03A9B">
        <w:rPr>
          <w:color w:val="231F20"/>
        </w:rPr>
        <w:t>—</w:t>
      </w:r>
      <w:r w:rsidRPr="00AF062B">
        <w:rPr>
          <w:i/>
          <w:iCs/>
          <w:color w:val="231F20"/>
        </w:rPr>
        <w:t>Lucas</w:t>
      </w:r>
      <w:r>
        <w:rPr>
          <w:color w:val="231F20"/>
        </w:rPr>
        <w:t xml:space="preserve"> </w:t>
      </w:r>
      <w:r w:rsidRPr="00A03A9B">
        <w:rPr>
          <w:i/>
          <w:color w:val="231F20"/>
        </w:rPr>
        <w:t xml:space="preserve">v. </w:t>
      </w:r>
      <w:r>
        <w:rPr>
          <w:i/>
          <w:color w:val="231F20"/>
        </w:rPr>
        <w:t>Riverhill Poultry, Inc.</w:t>
      </w:r>
      <w:r w:rsidRPr="00A03A9B">
        <w:rPr>
          <w:color w:val="231F20"/>
        </w:rPr>
        <w:t xml:space="preserve">, </w:t>
      </w:r>
      <w:r>
        <w:rPr>
          <w:color w:val="231F20"/>
        </w:rPr>
        <w:t>300</w:t>
      </w:r>
      <w:r w:rsidRPr="00A03A9B">
        <w:rPr>
          <w:color w:val="231F20"/>
        </w:rPr>
        <w:t xml:space="preserve"> Va. </w:t>
      </w:r>
      <w:r>
        <w:rPr>
          <w:color w:val="231F20"/>
        </w:rPr>
        <w:t>78</w:t>
      </w:r>
      <w:r w:rsidRPr="00A03A9B">
        <w:rPr>
          <w:color w:val="231F20"/>
        </w:rPr>
        <w:t xml:space="preserve">, </w:t>
      </w:r>
      <w:r>
        <w:rPr>
          <w:color w:val="231F20"/>
        </w:rPr>
        <w:t>860</w:t>
      </w:r>
      <w:r w:rsidRPr="00A03A9B">
        <w:rPr>
          <w:color w:val="231F20"/>
        </w:rPr>
        <w:t xml:space="preserve"> S.E.2d </w:t>
      </w:r>
      <w:r>
        <w:rPr>
          <w:color w:val="231F20"/>
        </w:rPr>
        <w:t>361</w:t>
      </w:r>
      <w:r w:rsidRPr="00A03A9B">
        <w:rPr>
          <w:color w:val="231F20"/>
        </w:rPr>
        <w:t>.</w:t>
      </w:r>
    </w:p>
    <w:p w14:paraId="43A289FA" w14:textId="70F0238A" w:rsidR="00F306AA" w:rsidRPr="00A03A9B" w:rsidRDefault="00AF062B" w:rsidP="00F306AA">
      <w:pPr>
        <w:pStyle w:val="BodyText"/>
        <w:spacing w:before="120" w:after="120"/>
        <w:ind w:left="1440"/>
        <w:jc w:val="both"/>
        <w:rPr>
          <w:color w:val="231F20"/>
        </w:rPr>
      </w:pPr>
      <w:r>
        <w:rPr>
          <w:color w:val="231F20"/>
        </w:rPr>
        <w:t>M</w:t>
      </w:r>
      <w:r w:rsidR="00F306AA">
        <w:rPr>
          <w:color w:val="231F20"/>
        </w:rPr>
        <w:t>edical examiner’s opinion as to who was driving and whether that person had ingested sleep aids was not admissible as lacking factual foundation.</w:t>
      </w:r>
    </w:p>
    <w:p w14:paraId="599B8D6A" w14:textId="77777777" w:rsidR="00A03A9B" w:rsidRPr="00A03A9B" w:rsidRDefault="00A03A9B" w:rsidP="0094400D">
      <w:pPr>
        <w:spacing w:before="126"/>
        <w:ind w:left="720"/>
        <w:jc w:val="both"/>
        <w:rPr>
          <w:color w:val="231F20"/>
        </w:rPr>
      </w:pPr>
      <w:r w:rsidRPr="00A03A9B">
        <w:rPr>
          <w:color w:val="231F20"/>
        </w:rPr>
        <w:t>2016—</w:t>
      </w:r>
      <w:r w:rsidRPr="00AF062B">
        <w:rPr>
          <w:i/>
          <w:iCs/>
          <w:color w:val="231F20"/>
        </w:rPr>
        <w:t>Toraish</w:t>
      </w:r>
      <w:r>
        <w:rPr>
          <w:color w:val="231F20"/>
        </w:rPr>
        <w:t xml:space="preserve"> </w:t>
      </w:r>
      <w:r w:rsidRPr="00A03A9B">
        <w:rPr>
          <w:i/>
          <w:color w:val="231F20"/>
        </w:rPr>
        <w:t xml:space="preserve">v. </w:t>
      </w:r>
      <w:r>
        <w:rPr>
          <w:i/>
          <w:color w:val="231F20"/>
        </w:rPr>
        <w:t>Lee</w:t>
      </w:r>
      <w:r w:rsidRPr="00A03A9B">
        <w:rPr>
          <w:color w:val="231F20"/>
        </w:rPr>
        <w:t>, 2</w:t>
      </w:r>
      <w:r>
        <w:rPr>
          <w:color w:val="231F20"/>
        </w:rPr>
        <w:t>93</w:t>
      </w:r>
      <w:r w:rsidRPr="00A03A9B">
        <w:rPr>
          <w:color w:val="231F20"/>
        </w:rPr>
        <w:t xml:space="preserve"> Va. </w:t>
      </w:r>
      <w:r>
        <w:rPr>
          <w:color w:val="231F20"/>
        </w:rPr>
        <w:t>262</w:t>
      </w:r>
      <w:r w:rsidRPr="00A03A9B">
        <w:rPr>
          <w:color w:val="231F20"/>
        </w:rPr>
        <w:t>, 79</w:t>
      </w:r>
      <w:r>
        <w:rPr>
          <w:color w:val="231F20"/>
        </w:rPr>
        <w:t>7</w:t>
      </w:r>
      <w:r w:rsidRPr="00A03A9B">
        <w:rPr>
          <w:color w:val="231F20"/>
        </w:rPr>
        <w:t xml:space="preserve"> S.E.2d </w:t>
      </w:r>
      <w:r>
        <w:rPr>
          <w:color w:val="231F20"/>
        </w:rPr>
        <w:t>760</w:t>
      </w:r>
      <w:r w:rsidRPr="00A03A9B">
        <w:rPr>
          <w:color w:val="231F20"/>
        </w:rPr>
        <w:t>.</w:t>
      </w:r>
    </w:p>
    <w:p w14:paraId="63E1C198" w14:textId="49C41919" w:rsidR="00795056" w:rsidRPr="00A03A9B" w:rsidRDefault="00A03A9B" w:rsidP="00A01B9B">
      <w:pPr>
        <w:pStyle w:val="BodyText"/>
        <w:spacing w:before="120" w:after="120"/>
        <w:ind w:left="1440"/>
        <w:jc w:val="both"/>
        <w:rPr>
          <w:color w:val="231F20"/>
        </w:rPr>
      </w:pPr>
      <w:r>
        <w:rPr>
          <w:color w:val="231F20"/>
        </w:rPr>
        <w:t>Defense expert witness stated that he had eliminated all possible causes of death until only one remained but it became apparent that some of the possible causes of death he could not have eliminated because they related to matters that fell outside the scope of his</w:t>
      </w:r>
      <w:r w:rsidR="00A01B9B">
        <w:rPr>
          <w:color w:val="231F20"/>
        </w:rPr>
        <w:t xml:space="preserve"> </w:t>
      </w:r>
      <w:r w:rsidRPr="005B31BE">
        <w:rPr>
          <w:color w:val="231F20"/>
          <w:sz w:val="21"/>
          <w:szCs w:val="21"/>
        </w:rPr>
        <w:t xml:space="preserve">expertise and testified </w:t>
      </w:r>
      <w:r w:rsidR="00474E8A" w:rsidRPr="005B31BE">
        <w:rPr>
          <w:color w:val="231F20"/>
          <w:sz w:val="21"/>
          <w:szCs w:val="21"/>
        </w:rPr>
        <w:t xml:space="preserve">that he relied upon the expertise of people who are qualified to </w:t>
      </w:r>
      <w:r w:rsidR="005B31BE">
        <w:rPr>
          <w:color w:val="231F20"/>
          <w:sz w:val="21"/>
          <w:szCs w:val="21"/>
        </w:rPr>
        <w:t>exclude</w:t>
      </w:r>
      <w:r w:rsidR="00A01B9B">
        <w:rPr>
          <w:color w:val="231F20"/>
        </w:rPr>
        <w:t xml:space="preserve"> </w:t>
      </w:r>
      <w:r w:rsidR="00474E8A">
        <w:rPr>
          <w:color w:val="231F20"/>
        </w:rPr>
        <w:t>them.  That was not a sufficient basis for the opinion and therefore should not have been allowed.  Defendant himself however is entitled to render factual testimony regarding circumstances that impacted or would have impacted his decision to perform surgery.</w:t>
      </w:r>
    </w:p>
    <w:p w14:paraId="66CCD3C9" w14:textId="77777777" w:rsidR="00795056" w:rsidRDefault="00795056" w:rsidP="0094400D">
      <w:pPr>
        <w:spacing w:before="126"/>
        <w:ind w:left="720"/>
        <w:rPr>
          <w:color w:val="231F20"/>
        </w:rPr>
      </w:pPr>
      <w:r>
        <w:rPr>
          <w:color w:val="231F20"/>
        </w:rPr>
        <w:t>2016—</w:t>
      </w:r>
      <w:r>
        <w:rPr>
          <w:i/>
          <w:color w:val="231F20"/>
        </w:rPr>
        <w:t>Holiday Motor Corp. v. Walters</w:t>
      </w:r>
      <w:r>
        <w:rPr>
          <w:color w:val="231F20"/>
        </w:rPr>
        <w:t>, 292 Va. 461, 790 S.E.2d 447.</w:t>
      </w:r>
    </w:p>
    <w:p w14:paraId="5AE5B19E" w14:textId="77777777" w:rsidR="00795056" w:rsidRPr="001D2BF2" w:rsidRDefault="00795056" w:rsidP="001D2BF2">
      <w:pPr>
        <w:pStyle w:val="BodyText"/>
        <w:spacing w:before="120" w:after="120"/>
        <w:ind w:left="1440"/>
        <w:jc w:val="both"/>
        <w:rPr>
          <w:color w:val="231F20"/>
        </w:rPr>
      </w:pPr>
      <w:r>
        <w:rPr>
          <w:color w:val="231F20"/>
        </w:rPr>
        <w:t xml:space="preserve">Expert testimony should not have been admitted that manufacturer had duty to design or supply a soft top on a convertible that provided occupant protection in a rollover.  In addition the </w:t>
      </w:r>
      <w:r w:rsidR="00C73E66">
        <w:rPr>
          <w:color w:val="231F20"/>
        </w:rPr>
        <w:t xml:space="preserve">plaintiff’s expert had lack of foundation as to whether or not soft top latching system was defectively designed.  He testified at trial that he did not apply any safety standards other than what </w:t>
      </w:r>
      <w:r w:rsidR="009109D6">
        <w:rPr>
          <w:color w:val="231F20"/>
        </w:rPr>
        <w:t>he called “the Right Hand Rule” of connection, he did not do any testing, did not rely upon authoritative literature and did not know how much weight the latching would support when the latches were connected.</w:t>
      </w:r>
    </w:p>
    <w:p w14:paraId="38DBCDF2" w14:textId="77777777" w:rsidR="009910CD" w:rsidRDefault="00FC2690" w:rsidP="0094400D">
      <w:pPr>
        <w:spacing w:before="126"/>
        <w:ind w:left="720"/>
        <w:rPr>
          <w:color w:val="231F20"/>
        </w:rPr>
      </w:pPr>
      <w:r>
        <w:rPr>
          <w:color w:val="231F20"/>
        </w:rPr>
        <w:t>2015—</w:t>
      </w:r>
      <w:r>
        <w:rPr>
          <w:i/>
          <w:color w:val="231F20"/>
        </w:rPr>
        <w:t>Hyundai Motor Company v.</w:t>
      </w:r>
      <w:r w:rsidR="00B64C57">
        <w:rPr>
          <w:i/>
          <w:color w:val="231F20"/>
        </w:rPr>
        <w:t xml:space="preserve"> </w:t>
      </w:r>
      <w:r>
        <w:rPr>
          <w:i/>
          <w:color w:val="231F20"/>
        </w:rPr>
        <w:t>Duncan</w:t>
      </w:r>
      <w:r>
        <w:rPr>
          <w:color w:val="231F20"/>
        </w:rPr>
        <w:t xml:space="preserve">, </w:t>
      </w:r>
      <w:r w:rsidR="00A16163">
        <w:rPr>
          <w:color w:val="231F20"/>
        </w:rPr>
        <w:t xml:space="preserve">289 Va. 147, </w:t>
      </w:r>
      <w:r>
        <w:rPr>
          <w:color w:val="231F20"/>
        </w:rPr>
        <w:t>766 S.E.2d</w:t>
      </w:r>
      <w:r w:rsidR="00B64C57">
        <w:rPr>
          <w:color w:val="231F20"/>
        </w:rPr>
        <w:t xml:space="preserve"> </w:t>
      </w:r>
      <w:r>
        <w:rPr>
          <w:color w:val="231F20"/>
        </w:rPr>
        <w:t>893.</w:t>
      </w:r>
    </w:p>
    <w:p w14:paraId="637884B2" w14:textId="77777777" w:rsidR="009910CD" w:rsidRPr="001D2BF2" w:rsidRDefault="00FC2690" w:rsidP="001D2BF2">
      <w:pPr>
        <w:pStyle w:val="BodyText"/>
        <w:spacing w:before="120" w:after="120"/>
        <w:ind w:left="1440"/>
        <w:jc w:val="both"/>
        <w:rPr>
          <w:color w:val="231F20"/>
        </w:rPr>
      </w:pPr>
      <w:r>
        <w:rPr>
          <w:color w:val="231F20"/>
        </w:rPr>
        <w:t>Fourteen-million-dollar judgme</w:t>
      </w:r>
      <w:r w:rsidR="00103F1A">
        <w:rPr>
          <w:color w:val="231F20"/>
        </w:rPr>
        <w:t>nt is reversed based upon inad</w:t>
      </w:r>
      <w:r>
        <w:rPr>
          <w:color w:val="231F20"/>
        </w:rPr>
        <w:t>equacy of expert testimony. Plaintiff’s airbag expert stated that the sensor was placed in the wrong location. The expert had not conducted</w:t>
      </w:r>
      <w:r w:rsidRPr="001D2BF2">
        <w:rPr>
          <w:color w:val="231F20"/>
        </w:rPr>
        <w:t xml:space="preserve"> </w:t>
      </w:r>
      <w:r>
        <w:rPr>
          <w:color w:val="231F20"/>
        </w:rPr>
        <w:t>any</w:t>
      </w:r>
      <w:r w:rsidRPr="001D2BF2">
        <w:rPr>
          <w:color w:val="231F20"/>
        </w:rPr>
        <w:t xml:space="preserve"> </w:t>
      </w:r>
      <w:r>
        <w:rPr>
          <w:color w:val="231F20"/>
        </w:rPr>
        <w:t>independent</w:t>
      </w:r>
      <w:r w:rsidRPr="001D2BF2">
        <w:rPr>
          <w:color w:val="231F20"/>
        </w:rPr>
        <w:t xml:space="preserve"> </w:t>
      </w:r>
      <w:r>
        <w:rPr>
          <w:color w:val="231F20"/>
        </w:rPr>
        <w:t>testing;</w:t>
      </w:r>
      <w:r w:rsidRPr="001D2BF2">
        <w:rPr>
          <w:color w:val="231F20"/>
        </w:rPr>
        <w:t xml:space="preserve"> </w:t>
      </w:r>
      <w:r>
        <w:rPr>
          <w:color w:val="231F20"/>
        </w:rPr>
        <w:t>he</w:t>
      </w:r>
      <w:r w:rsidRPr="001D2BF2">
        <w:rPr>
          <w:color w:val="231F20"/>
        </w:rPr>
        <w:t xml:space="preserve"> </w:t>
      </w:r>
      <w:r>
        <w:rPr>
          <w:color w:val="231F20"/>
        </w:rPr>
        <w:t>relied</w:t>
      </w:r>
      <w:r w:rsidRPr="001D2BF2">
        <w:rPr>
          <w:color w:val="231F20"/>
        </w:rPr>
        <w:t xml:space="preserve"> </w:t>
      </w:r>
      <w:r>
        <w:rPr>
          <w:color w:val="231F20"/>
        </w:rPr>
        <w:t>on</w:t>
      </w:r>
      <w:r w:rsidRPr="001D2BF2">
        <w:rPr>
          <w:color w:val="231F20"/>
        </w:rPr>
        <w:t xml:space="preserve"> </w:t>
      </w:r>
      <w:r>
        <w:rPr>
          <w:color w:val="231F20"/>
        </w:rPr>
        <w:t>manufacturer’s</w:t>
      </w:r>
      <w:r w:rsidRPr="001D2BF2">
        <w:rPr>
          <w:color w:val="231F20"/>
        </w:rPr>
        <w:t xml:space="preserve"> </w:t>
      </w:r>
      <w:r>
        <w:rPr>
          <w:color w:val="231F20"/>
        </w:rPr>
        <w:t>own sensor-location study back when the car was designed. He did perform a crash-severity analysis and compared the severity of this crash with the manufacturer’s unqu</w:t>
      </w:r>
      <w:r w:rsidR="00AB18B1">
        <w:rPr>
          <w:color w:val="231F20"/>
        </w:rPr>
        <w:t>estioned desire for bag deploy</w:t>
      </w:r>
      <w:r>
        <w:rPr>
          <w:color w:val="231F20"/>
        </w:rPr>
        <w:t>ment at a lower impact speed. The court concluded this evidence was inadmissible because neither the expert nor the manufacturer had</w:t>
      </w:r>
      <w:r w:rsidRPr="001D2BF2">
        <w:rPr>
          <w:color w:val="231F20"/>
        </w:rPr>
        <w:t xml:space="preserve"> </w:t>
      </w:r>
      <w:r>
        <w:rPr>
          <w:color w:val="231F20"/>
        </w:rPr>
        <w:t>tested</w:t>
      </w:r>
      <w:r w:rsidRPr="001D2BF2">
        <w:rPr>
          <w:color w:val="231F20"/>
        </w:rPr>
        <w:t xml:space="preserve"> </w:t>
      </w:r>
      <w:r>
        <w:rPr>
          <w:color w:val="231F20"/>
        </w:rPr>
        <w:t>the</w:t>
      </w:r>
      <w:r w:rsidRPr="001D2BF2">
        <w:rPr>
          <w:color w:val="231F20"/>
        </w:rPr>
        <w:t xml:space="preserve"> </w:t>
      </w:r>
      <w:r>
        <w:rPr>
          <w:color w:val="231F20"/>
        </w:rPr>
        <w:t>precise</w:t>
      </w:r>
      <w:r w:rsidRPr="001D2BF2">
        <w:rPr>
          <w:color w:val="231F20"/>
        </w:rPr>
        <w:t xml:space="preserve"> </w:t>
      </w:r>
      <w:r>
        <w:rPr>
          <w:color w:val="231F20"/>
        </w:rPr>
        <w:t>location</w:t>
      </w:r>
      <w:r w:rsidRPr="001D2BF2">
        <w:rPr>
          <w:color w:val="231F20"/>
        </w:rPr>
        <w:t xml:space="preserve"> </w:t>
      </w:r>
      <w:r>
        <w:rPr>
          <w:color w:val="231F20"/>
        </w:rPr>
        <w:t>that</w:t>
      </w:r>
      <w:r w:rsidRPr="001D2BF2">
        <w:rPr>
          <w:color w:val="231F20"/>
        </w:rPr>
        <w:t xml:space="preserve"> </w:t>
      </w:r>
      <w:r>
        <w:rPr>
          <w:color w:val="231F20"/>
        </w:rPr>
        <w:t>the</w:t>
      </w:r>
      <w:r w:rsidRPr="001D2BF2">
        <w:rPr>
          <w:color w:val="231F20"/>
        </w:rPr>
        <w:t xml:space="preserve"> </w:t>
      </w:r>
      <w:r>
        <w:rPr>
          <w:color w:val="231F20"/>
        </w:rPr>
        <w:t>expert</w:t>
      </w:r>
      <w:r w:rsidRPr="001D2BF2">
        <w:rPr>
          <w:color w:val="231F20"/>
        </w:rPr>
        <w:t xml:space="preserve"> </w:t>
      </w:r>
      <w:r>
        <w:rPr>
          <w:color w:val="231F20"/>
        </w:rPr>
        <w:t>had</w:t>
      </w:r>
      <w:r w:rsidRPr="001D2BF2">
        <w:rPr>
          <w:color w:val="231F20"/>
        </w:rPr>
        <w:t xml:space="preserve"> </w:t>
      </w:r>
      <w:r>
        <w:rPr>
          <w:color w:val="231F20"/>
        </w:rPr>
        <w:t>indicated</w:t>
      </w:r>
      <w:r w:rsidRPr="001D2BF2">
        <w:rPr>
          <w:color w:val="231F20"/>
        </w:rPr>
        <w:t xml:space="preserve"> </w:t>
      </w:r>
      <w:r>
        <w:rPr>
          <w:color w:val="231F20"/>
        </w:rPr>
        <w:t>would</w:t>
      </w:r>
      <w:r w:rsidRPr="001D2BF2">
        <w:rPr>
          <w:color w:val="231F20"/>
        </w:rPr>
        <w:t xml:space="preserve"> </w:t>
      </w:r>
      <w:r>
        <w:rPr>
          <w:color w:val="231F20"/>
        </w:rPr>
        <w:t>be best. Court stated that this testimony failed to establish that another sensor location would have produced deployment of the bag and prevented the</w:t>
      </w:r>
      <w:r w:rsidRPr="001D2BF2">
        <w:rPr>
          <w:color w:val="231F20"/>
        </w:rPr>
        <w:t xml:space="preserve"> injury.</w:t>
      </w:r>
    </w:p>
    <w:p w14:paraId="21877AF4" w14:textId="77777777" w:rsidR="009910CD" w:rsidRDefault="00FC2690" w:rsidP="0094400D">
      <w:pPr>
        <w:spacing w:before="116"/>
        <w:ind w:left="720"/>
      </w:pPr>
      <w:r>
        <w:rPr>
          <w:color w:val="231F20"/>
        </w:rPr>
        <w:t>2012—</w:t>
      </w:r>
      <w:r>
        <w:rPr>
          <w:i/>
          <w:color w:val="231F20"/>
        </w:rPr>
        <w:t>Arnold v.</w:t>
      </w:r>
      <w:r w:rsidR="00B64C57">
        <w:rPr>
          <w:i/>
          <w:color w:val="231F20"/>
        </w:rPr>
        <w:t xml:space="preserve"> </w:t>
      </w:r>
      <w:r>
        <w:rPr>
          <w:i/>
          <w:color w:val="231F20"/>
        </w:rPr>
        <w:t>Wallace</w:t>
      </w:r>
      <w:r>
        <w:rPr>
          <w:color w:val="231F20"/>
        </w:rPr>
        <w:t>, 283 Va.</w:t>
      </w:r>
      <w:r w:rsidR="00B64C57">
        <w:rPr>
          <w:color w:val="231F20"/>
        </w:rPr>
        <w:t xml:space="preserve"> </w:t>
      </w:r>
      <w:r>
        <w:rPr>
          <w:color w:val="231F20"/>
        </w:rPr>
        <w:t>709, 725 S.E.2d</w:t>
      </w:r>
      <w:r w:rsidR="00B64C57">
        <w:rPr>
          <w:color w:val="231F20"/>
        </w:rPr>
        <w:t xml:space="preserve"> </w:t>
      </w:r>
      <w:r>
        <w:rPr>
          <w:color w:val="231F20"/>
        </w:rPr>
        <w:t>539.</w:t>
      </w:r>
    </w:p>
    <w:p w14:paraId="6584B7C2" w14:textId="77777777" w:rsidR="009910CD" w:rsidRPr="001D2BF2" w:rsidRDefault="00FC2690" w:rsidP="001D2BF2">
      <w:pPr>
        <w:pStyle w:val="BodyText"/>
        <w:spacing w:before="120" w:after="120"/>
        <w:ind w:left="1440"/>
        <w:jc w:val="both"/>
        <w:rPr>
          <w:color w:val="231F20"/>
        </w:rPr>
      </w:pPr>
      <w:r>
        <w:rPr>
          <w:color w:val="231F20"/>
        </w:rPr>
        <w:t>Trial court did not err in refusing to disqualify defense expert witness</w:t>
      </w:r>
      <w:r w:rsidRPr="001D2BF2">
        <w:rPr>
          <w:color w:val="231F20"/>
        </w:rPr>
        <w:t xml:space="preserve"> </w:t>
      </w:r>
      <w:r>
        <w:rPr>
          <w:color w:val="231F20"/>
        </w:rPr>
        <w:t>because</w:t>
      </w:r>
      <w:r w:rsidRPr="001D2BF2">
        <w:rPr>
          <w:color w:val="231F20"/>
        </w:rPr>
        <w:t xml:space="preserve"> </w:t>
      </w:r>
      <w:r>
        <w:rPr>
          <w:color w:val="231F20"/>
        </w:rPr>
        <w:t>she</w:t>
      </w:r>
      <w:r w:rsidRPr="001D2BF2">
        <w:rPr>
          <w:color w:val="231F20"/>
        </w:rPr>
        <w:t xml:space="preserve"> </w:t>
      </w:r>
      <w:r>
        <w:rPr>
          <w:color w:val="231F20"/>
        </w:rPr>
        <w:t>was</w:t>
      </w:r>
      <w:r w:rsidRPr="001D2BF2">
        <w:rPr>
          <w:color w:val="231F20"/>
        </w:rPr>
        <w:t xml:space="preserve"> </w:t>
      </w:r>
      <w:r>
        <w:rPr>
          <w:color w:val="231F20"/>
        </w:rPr>
        <w:t>a</w:t>
      </w:r>
      <w:r w:rsidRPr="001D2BF2">
        <w:rPr>
          <w:color w:val="231F20"/>
        </w:rPr>
        <w:t xml:space="preserve"> </w:t>
      </w:r>
      <w:r>
        <w:rPr>
          <w:color w:val="231F20"/>
        </w:rPr>
        <w:t>member</w:t>
      </w:r>
      <w:r w:rsidRPr="001D2BF2">
        <w:rPr>
          <w:color w:val="231F20"/>
        </w:rPr>
        <w:t xml:space="preserve"> </w:t>
      </w:r>
      <w:r>
        <w:rPr>
          <w:color w:val="231F20"/>
        </w:rPr>
        <w:t>of</w:t>
      </w:r>
      <w:r w:rsidRPr="001D2BF2">
        <w:rPr>
          <w:color w:val="231F20"/>
        </w:rPr>
        <w:t xml:space="preserve"> </w:t>
      </w:r>
      <w:r>
        <w:rPr>
          <w:color w:val="231F20"/>
        </w:rPr>
        <w:t>the</w:t>
      </w:r>
      <w:r w:rsidRPr="001D2BF2">
        <w:rPr>
          <w:color w:val="231F20"/>
        </w:rPr>
        <w:t xml:space="preserve"> </w:t>
      </w:r>
      <w:r>
        <w:rPr>
          <w:color w:val="231F20"/>
        </w:rPr>
        <w:t>same</w:t>
      </w:r>
      <w:r w:rsidRPr="001D2BF2">
        <w:rPr>
          <w:color w:val="231F20"/>
        </w:rPr>
        <w:t xml:space="preserve"> </w:t>
      </w:r>
      <w:r>
        <w:rPr>
          <w:color w:val="231F20"/>
        </w:rPr>
        <w:t>medical</w:t>
      </w:r>
      <w:r w:rsidRPr="001D2BF2">
        <w:rPr>
          <w:color w:val="231F20"/>
        </w:rPr>
        <w:t xml:space="preserve"> </w:t>
      </w:r>
      <w:r>
        <w:rPr>
          <w:color w:val="231F20"/>
        </w:rPr>
        <w:t>group</w:t>
      </w:r>
      <w:r w:rsidRPr="001D2BF2">
        <w:rPr>
          <w:color w:val="231F20"/>
        </w:rPr>
        <w:t xml:space="preserve"> </w:t>
      </w:r>
      <w:r>
        <w:rPr>
          <w:color w:val="231F20"/>
        </w:rPr>
        <w:t>as</w:t>
      </w:r>
      <w:r w:rsidRPr="001D2BF2">
        <w:rPr>
          <w:color w:val="231F20"/>
        </w:rPr>
        <w:t xml:space="preserve"> </w:t>
      </w:r>
      <w:r>
        <w:rPr>
          <w:color w:val="231F20"/>
        </w:rPr>
        <w:t>the expert plaintiff had initially retained in the case. There was no showing any confidential or privileged information was conveyed by the plaintiff to the first expert or by that expert to the defense witness.</w:t>
      </w:r>
    </w:p>
    <w:p w14:paraId="2F8A7481" w14:textId="77777777" w:rsidR="009910CD" w:rsidRDefault="00FC2690" w:rsidP="0094400D">
      <w:pPr>
        <w:spacing w:before="119"/>
        <w:ind w:left="720"/>
      </w:pPr>
      <w:r>
        <w:rPr>
          <w:color w:val="231F20"/>
        </w:rPr>
        <w:t>2011—</w:t>
      </w:r>
      <w:r>
        <w:rPr>
          <w:i/>
          <w:color w:val="231F20"/>
        </w:rPr>
        <w:t>CNH America v.</w:t>
      </w:r>
      <w:r w:rsidR="00B64C57">
        <w:rPr>
          <w:i/>
          <w:color w:val="231F20"/>
        </w:rPr>
        <w:t xml:space="preserve"> </w:t>
      </w:r>
      <w:r>
        <w:rPr>
          <w:i/>
          <w:color w:val="231F20"/>
        </w:rPr>
        <w:t>Smith</w:t>
      </w:r>
      <w:r>
        <w:rPr>
          <w:color w:val="231F20"/>
        </w:rPr>
        <w:t>, 281 Va.</w:t>
      </w:r>
      <w:r w:rsidR="00B64C57">
        <w:rPr>
          <w:color w:val="231F20"/>
        </w:rPr>
        <w:t xml:space="preserve"> </w:t>
      </w:r>
      <w:r>
        <w:rPr>
          <w:color w:val="231F20"/>
        </w:rPr>
        <w:t>60, 704 S.E.2d</w:t>
      </w:r>
      <w:r w:rsidR="00B64C57">
        <w:rPr>
          <w:color w:val="231F20"/>
        </w:rPr>
        <w:t xml:space="preserve"> </w:t>
      </w:r>
      <w:r>
        <w:rPr>
          <w:color w:val="231F20"/>
        </w:rPr>
        <w:t>372.</w:t>
      </w:r>
    </w:p>
    <w:p w14:paraId="6DA44955" w14:textId="77777777" w:rsidR="009910CD" w:rsidRDefault="00FC2690" w:rsidP="001D2BF2">
      <w:pPr>
        <w:pStyle w:val="BodyText"/>
        <w:spacing w:before="120" w:after="120"/>
        <w:ind w:left="1440"/>
        <w:jc w:val="both"/>
        <w:rPr>
          <w:color w:val="231F20"/>
        </w:rPr>
      </w:pPr>
      <w:r>
        <w:rPr>
          <w:color w:val="231F20"/>
        </w:rPr>
        <w:t xml:space="preserve">Trial </w:t>
      </w:r>
      <w:r w:rsidR="00AE3B68">
        <w:rPr>
          <w:color w:val="231F20"/>
        </w:rPr>
        <w:t>c</w:t>
      </w:r>
      <w:r>
        <w:rPr>
          <w:color w:val="231F20"/>
        </w:rPr>
        <w:t>ourt erred in admitting testimony of plaintiff’s two expert witnesses.</w:t>
      </w:r>
      <w:r w:rsidRPr="001D2BF2">
        <w:rPr>
          <w:color w:val="231F20"/>
        </w:rPr>
        <w:t xml:space="preserve"> </w:t>
      </w:r>
      <w:r>
        <w:rPr>
          <w:color w:val="231F20"/>
        </w:rPr>
        <w:t>One</w:t>
      </w:r>
      <w:r w:rsidRPr="001D2BF2">
        <w:rPr>
          <w:color w:val="231F20"/>
        </w:rPr>
        <w:t xml:space="preserve"> </w:t>
      </w:r>
      <w:r>
        <w:rPr>
          <w:color w:val="231F20"/>
        </w:rPr>
        <w:t>expert</w:t>
      </w:r>
      <w:r w:rsidRPr="001D2BF2">
        <w:rPr>
          <w:color w:val="231F20"/>
        </w:rPr>
        <w:t xml:space="preserve"> </w:t>
      </w:r>
      <w:r>
        <w:rPr>
          <w:color w:val="231F20"/>
        </w:rPr>
        <w:t>testified</w:t>
      </w:r>
      <w:r w:rsidRPr="001D2BF2">
        <w:rPr>
          <w:color w:val="231F20"/>
        </w:rPr>
        <w:t xml:space="preserve"> </w:t>
      </w:r>
      <w:r>
        <w:rPr>
          <w:color w:val="231F20"/>
        </w:rPr>
        <w:t>that</w:t>
      </w:r>
      <w:r w:rsidRPr="001D2BF2">
        <w:rPr>
          <w:color w:val="231F20"/>
        </w:rPr>
        <w:t xml:space="preserve"> </w:t>
      </w:r>
      <w:r>
        <w:rPr>
          <w:color w:val="231F20"/>
        </w:rPr>
        <w:t>because</w:t>
      </w:r>
      <w:r w:rsidRPr="001D2BF2">
        <w:rPr>
          <w:color w:val="231F20"/>
        </w:rPr>
        <w:t xml:space="preserve"> </w:t>
      </w:r>
      <w:r>
        <w:rPr>
          <w:color w:val="231F20"/>
        </w:rPr>
        <w:t>a</w:t>
      </w:r>
      <w:r w:rsidRPr="001D2BF2">
        <w:rPr>
          <w:color w:val="231F20"/>
        </w:rPr>
        <w:t xml:space="preserve"> </w:t>
      </w:r>
      <w:r>
        <w:rPr>
          <w:color w:val="231F20"/>
        </w:rPr>
        <w:t>hose</w:t>
      </w:r>
      <w:r w:rsidRPr="001D2BF2">
        <w:rPr>
          <w:color w:val="231F20"/>
        </w:rPr>
        <w:t xml:space="preserve"> </w:t>
      </w:r>
      <w:r>
        <w:rPr>
          <w:color w:val="231F20"/>
        </w:rPr>
        <w:t>in</w:t>
      </w:r>
      <w:r w:rsidRPr="001D2BF2">
        <w:rPr>
          <w:color w:val="231F20"/>
        </w:rPr>
        <w:t xml:space="preserve"> </w:t>
      </w:r>
      <w:r>
        <w:rPr>
          <w:color w:val="231F20"/>
        </w:rPr>
        <w:t>this</w:t>
      </w:r>
      <w:r w:rsidRPr="001D2BF2">
        <w:rPr>
          <w:color w:val="231F20"/>
        </w:rPr>
        <w:t xml:space="preserve"> </w:t>
      </w:r>
      <w:r>
        <w:rPr>
          <w:color w:val="231F20"/>
        </w:rPr>
        <w:t>case</w:t>
      </w:r>
      <w:r w:rsidRPr="001D2BF2">
        <w:rPr>
          <w:color w:val="231F20"/>
        </w:rPr>
        <w:t xml:space="preserve"> </w:t>
      </w:r>
      <w:r>
        <w:rPr>
          <w:color w:val="231F20"/>
        </w:rPr>
        <w:t>failed that</w:t>
      </w:r>
      <w:r w:rsidRPr="001D2BF2">
        <w:rPr>
          <w:color w:val="231F20"/>
        </w:rPr>
        <w:t xml:space="preserve"> </w:t>
      </w:r>
      <w:r>
        <w:rPr>
          <w:color w:val="231F20"/>
        </w:rPr>
        <w:t>it</w:t>
      </w:r>
      <w:r w:rsidRPr="001D2BF2">
        <w:rPr>
          <w:color w:val="231F20"/>
        </w:rPr>
        <w:t xml:space="preserve"> </w:t>
      </w:r>
      <w:r>
        <w:rPr>
          <w:color w:val="231F20"/>
        </w:rPr>
        <w:t>was</w:t>
      </w:r>
      <w:r w:rsidRPr="001D2BF2">
        <w:rPr>
          <w:color w:val="231F20"/>
        </w:rPr>
        <w:t xml:space="preserve"> </w:t>
      </w:r>
      <w:r>
        <w:rPr>
          <w:color w:val="231F20"/>
        </w:rPr>
        <w:t>a</w:t>
      </w:r>
      <w:r w:rsidRPr="001D2BF2">
        <w:rPr>
          <w:color w:val="231F20"/>
        </w:rPr>
        <w:t xml:space="preserve"> </w:t>
      </w:r>
      <w:r>
        <w:rPr>
          <w:color w:val="231F20"/>
        </w:rPr>
        <w:t>manufacturer’s</w:t>
      </w:r>
      <w:r w:rsidRPr="001D2BF2">
        <w:rPr>
          <w:color w:val="231F20"/>
        </w:rPr>
        <w:t xml:space="preserve"> </w:t>
      </w:r>
      <w:r>
        <w:rPr>
          <w:color w:val="231F20"/>
        </w:rPr>
        <w:t>defect.</w:t>
      </w:r>
      <w:r w:rsidRPr="001D2BF2">
        <w:rPr>
          <w:color w:val="231F20"/>
        </w:rPr>
        <w:t xml:space="preserve"> </w:t>
      </w:r>
      <w:r>
        <w:rPr>
          <w:color w:val="231F20"/>
        </w:rPr>
        <w:t>That</w:t>
      </w:r>
      <w:r w:rsidRPr="001D2BF2">
        <w:rPr>
          <w:color w:val="231F20"/>
        </w:rPr>
        <w:t xml:space="preserve"> </w:t>
      </w:r>
      <w:r>
        <w:rPr>
          <w:color w:val="231F20"/>
        </w:rPr>
        <w:t>is</w:t>
      </w:r>
      <w:r w:rsidRPr="001D2BF2">
        <w:rPr>
          <w:color w:val="231F20"/>
        </w:rPr>
        <w:t xml:space="preserve"> </w:t>
      </w:r>
      <w:r>
        <w:rPr>
          <w:color w:val="231F20"/>
        </w:rPr>
        <w:t>insufficient</w:t>
      </w:r>
      <w:r w:rsidRPr="001D2BF2">
        <w:rPr>
          <w:color w:val="231F20"/>
        </w:rPr>
        <w:t xml:space="preserve"> </w:t>
      </w:r>
      <w:r>
        <w:rPr>
          <w:color w:val="231F20"/>
        </w:rPr>
        <w:t>basis</w:t>
      </w:r>
      <w:r w:rsidRPr="001D2BF2">
        <w:rPr>
          <w:color w:val="231F20"/>
        </w:rPr>
        <w:t xml:space="preserve"> </w:t>
      </w:r>
      <w:r>
        <w:rPr>
          <w:color w:val="231F20"/>
        </w:rPr>
        <w:t>for</w:t>
      </w:r>
      <w:r w:rsidRPr="001D2BF2">
        <w:rPr>
          <w:color w:val="231F20"/>
        </w:rPr>
        <w:t xml:space="preserve"> </w:t>
      </w:r>
      <w:r>
        <w:rPr>
          <w:color w:val="231F20"/>
        </w:rPr>
        <w:t>such conclusion. Second expert admitted that he was not an expert in hydraulic systems of mowers and had no experience in the design</w:t>
      </w:r>
      <w:r w:rsidRPr="001D2BF2">
        <w:rPr>
          <w:color w:val="231F20"/>
        </w:rPr>
        <w:t xml:space="preserve"> </w:t>
      </w:r>
      <w:r>
        <w:rPr>
          <w:color w:val="231F20"/>
        </w:rPr>
        <w:t>or manufacture of such or other agriculture equipment and therefore had inadequate</w:t>
      </w:r>
      <w:r w:rsidRPr="001D2BF2">
        <w:rPr>
          <w:color w:val="231F20"/>
        </w:rPr>
        <w:t xml:space="preserve"> </w:t>
      </w:r>
      <w:r>
        <w:rPr>
          <w:color w:val="231F20"/>
        </w:rPr>
        <w:t>qualifications.</w:t>
      </w:r>
    </w:p>
    <w:p w14:paraId="529E453A" w14:textId="77777777" w:rsidR="00480B5C" w:rsidRDefault="00480B5C" w:rsidP="00AF062B">
      <w:pPr>
        <w:pStyle w:val="ListParagraph"/>
        <w:numPr>
          <w:ilvl w:val="0"/>
          <w:numId w:val="8"/>
        </w:numPr>
        <w:spacing w:before="86"/>
        <w:ind w:left="1170" w:hanging="450"/>
        <w:jc w:val="left"/>
        <w:rPr>
          <w:b/>
        </w:rPr>
      </w:pPr>
      <w:r>
        <w:rPr>
          <w:b/>
          <w:color w:val="231F20"/>
        </w:rPr>
        <w:lastRenderedPageBreak/>
        <w:t>Adequate Identification of Expert</w:t>
      </w:r>
    </w:p>
    <w:p w14:paraId="1CD2ABF2" w14:textId="4FE8035D" w:rsidR="00480B5C" w:rsidRPr="00A03A9B" w:rsidRDefault="00480B5C" w:rsidP="0094400D">
      <w:pPr>
        <w:spacing w:before="126"/>
        <w:ind w:left="720"/>
        <w:jc w:val="both"/>
        <w:rPr>
          <w:color w:val="231F20"/>
        </w:rPr>
      </w:pPr>
      <w:r w:rsidRPr="00A03A9B">
        <w:rPr>
          <w:color w:val="231F20"/>
        </w:rPr>
        <w:t>201</w:t>
      </w:r>
      <w:r>
        <w:rPr>
          <w:color w:val="231F20"/>
        </w:rPr>
        <w:t>7</w:t>
      </w:r>
      <w:r w:rsidRPr="00A03A9B">
        <w:rPr>
          <w:color w:val="231F20"/>
        </w:rPr>
        <w:t>—</w:t>
      </w:r>
      <w:r w:rsidRPr="00D471B4">
        <w:rPr>
          <w:i/>
          <w:color w:val="231F20"/>
        </w:rPr>
        <w:t>Emerald Point, LLC v. Lindsey Hawkins</w:t>
      </w:r>
      <w:r w:rsidRPr="00A03A9B">
        <w:rPr>
          <w:color w:val="231F20"/>
        </w:rPr>
        <w:t>, 2</w:t>
      </w:r>
      <w:r>
        <w:rPr>
          <w:color w:val="231F20"/>
        </w:rPr>
        <w:t>94</w:t>
      </w:r>
      <w:r w:rsidRPr="00A03A9B">
        <w:rPr>
          <w:color w:val="231F20"/>
        </w:rPr>
        <w:t xml:space="preserve"> Va. </w:t>
      </w:r>
      <w:r>
        <w:rPr>
          <w:color w:val="231F20"/>
        </w:rPr>
        <w:t>544</w:t>
      </w:r>
      <w:r w:rsidRPr="00A03A9B">
        <w:rPr>
          <w:color w:val="231F20"/>
        </w:rPr>
        <w:t xml:space="preserve">, </w:t>
      </w:r>
      <w:r>
        <w:rPr>
          <w:color w:val="231F20"/>
        </w:rPr>
        <w:t>808</w:t>
      </w:r>
      <w:r w:rsidRPr="00A03A9B">
        <w:rPr>
          <w:color w:val="231F20"/>
        </w:rPr>
        <w:t xml:space="preserve"> S.E.2d </w:t>
      </w:r>
      <w:r>
        <w:rPr>
          <w:color w:val="231F20"/>
        </w:rPr>
        <w:t>384</w:t>
      </w:r>
      <w:r w:rsidRPr="00A03A9B">
        <w:rPr>
          <w:color w:val="231F20"/>
        </w:rPr>
        <w:t>.</w:t>
      </w:r>
    </w:p>
    <w:p w14:paraId="591B2FA4" w14:textId="77777777" w:rsidR="00480B5C" w:rsidRPr="001D2BF2" w:rsidRDefault="00480B5C" w:rsidP="001D2BF2">
      <w:pPr>
        <w:pStyle w:val="BodyText"/>
        <w:spacing w:before="120" w:after="120"/>
        <w:ind w:left="1440"/>
        <w:jc w:val="both"/>
        <w:rPr>
          <w:color w:val="231F20"/>
        </w:rPr>
      </w:pPr>
      <w:r>
        <w:rPr>
          <w:color w:val="231F20"/>
        </w:rPr>
        <w:t>Plaintiff’s expert should not have been allowed to testify as to statements and opinions not adequately disclosed in Answers to Interrogatories.</w:t>
      </w:r>
      <w:r w:rsidR="00A134E7">
        <w:rPr>
          <w:color w:val="231F20"/>
        </w:rPr>
        <w:t xml:space="preserve">  </w:t>
      </w:r>
    </w:p>
    <w:p w14:paraId="02FF806C" w14:textId="77777777" w:rsidR="00B57BE1" w:rsidRDefault="00B57BE1" w:rsidP="009F773A">
      <w:pPr>
        <w:spacing w:before="126"/>
        <w:ind w:left="720"/>
      </w:pPr>
      <w:r>
        <w:rPr>
          <w:color w:val="231F20"/>
        </w:rPr>
        <w:t>2016—</w:t>
      </w:r>
      <w:r>
        <w:rPr>
          <w:i/>
          <w:color w:val="231F20"/>
        </w:rPr>
        <w:t>Mikhaylov v. Sales</w:t>
      </w:r>
      <w:r>
        <w:rPr>
          <w:color w:val="231F20"/>
        </w:rPr>
        <w:t>, 291 Va. 349, 784 S.E.2d 286.</w:t>
      </w:r>
    </w:p>
    <w:p w14:paraId="1EEE5A8C" w14:textId="77777777" w:rsidR="00B57BE1" w:rsidRPr="001D2BF2" w:rsidRDefault="00B57BE1" w:rsidP="001D2BF2">
      <w:pPr>
        <w:pStyle w:val="BodyText"/>
        <w:spacing w:before="120" w:after="120"/>
        <w:ind w:left="1440"/>
        <w:jc w:val="both"/>
        <w:rPr>
          <w:color w:val="231F20"/>
        </w:rPr>
      </w:pPr>
      <w:r>
        <w:rPr>
          <w:color w:val="231F20"/>
        </w:rPr>
        <w:t xml:space="preserve">Plaintiff failed to properly identify proposed expert testimony of treating doctor as to future care and therefore that should have been excluded.  </w:t>
      </w:r>
    </w:p>
    <w:p w14:paraId="785F687E" w14:textId="77777777" w:rsidR="00B57BE1" w:rsidRDefault="00B57BE1" w:rsidP="009F773A">
      <w:pPr>
        <w:spacing w:before="139" w:line="240" w:lineRule="exact"/>
        <w:ind w:left="720" w:right="826"/>
      </w:pPr>
      <w:r>
        <w:rPr>
          <w:color w:val="231F20"/>
        </w:rPr>
        <w:t>2011—</w:t>
      </w:r>
      <w:r>
        <w:rPr>
          <w:i/>
          <w:color w:val="231F20"/>
        </w:rPr>
        <w:t>Landrum v. Chippenham &amp; Johnston-Willis Hosp.</w:t>
      </w:r>
      <w:r>
        <w:rPr>
          <w:color w:val="231F20"/>
        </w:rPr>
        <w:t>, 282 Va. 346, 717 S.E.2d 134.</w:t>
      </w:r>
    </w:p>
    <w:p w14:paraId="7F38B0F1" w14:textId="77777777" w:rsidR="00B57BE1" w:rsidRDefault="00B57BE1" w:rsidP="001D2BF2">
      <w:pPr>
        <w:pStyle w:val="BodyText"/>
        <w:spacing w:before="120" w:after="120"/>
        <w:ind w:left="1440"/>
        <w:jc w:val="both"/>
        <w:rPr>
          <w:color w:val="231F20"/>
        </w:rPr>
      </w:pPr>
      <w:r>
        <w:rPr>
          <w:color w:val="231F20"/>
        </w:rPr>
        <w:t>In</w:t>
      </w:r>
      <w:r w:rsidRPr="001D2BF2">
        <w:rPr>
          <w:color w:val="231F20"/>
        </w:rPr>
        <w:t xml:space="preserve"> </w:t>
      </w:r>
      <w:r>
        <w:rPr>
          <w:color w:val="231F20"/>
        </w:rPr>
        <w:t>this</w:t>
      </w:r>
      <w:r w:rsidRPr="001D2BF2">
        <w:rPr>
          <w:color w:val="231F20"/>
        </w:rPr>
        <w:t xml:space="preserve"> </w:t>
      </w:r>
      <w:r>
        <w:rPr>
          <w:color w:val="231F20"/>
        </w:rPr>
        <w:t>medical</w:t>
      </w:r>
      <w:r w:rsidRPr="001D2BF2">
        <w:rPr>
          <w:color w:val="231F20"/>
        </w:rPr>
        <w:t xml:space="preserve"> </w:t>
      </w:r>
      <w:r>
        <w:rPr>
          <w:color w:val="231F20"/>
        </w:rPr>
        <w:t>malpractice</w:t>
      </w:r>
      <w:r w:rsidRPr="001D2BF2">
        <w:rPr>
          <w:color w:val="231F20"/>
        </w:rPr>
        <w:t xml:space="preserve"> </w:t>
      </w:r>
      <w:r>
        <w:rPr>
          <w:color w:val="231F20"/>
        </w:rPr>
        <w:t>action,</w:t>
      </w:r>
      <w:r w:rsidRPr="001D2BF2">
        <w:rPr>
          <w:color w:val="231F20"/>
        </w:rPr>
        <w:t xml:space="preserve"> </w:t>
      </w:r>
      <w:r>
        <w:rPr>
          <w:color w:val="231F20"/>
        </w:rPr>
        <w:t>the</w:t>
      </w:r>
      <w:r w:rsidRPr="001D2BF2">
        <w:rPr>
          <w:color w:val="231F20"/>
        </w:rPr>
        <w:t xml:space="preserve"> </w:t>
      </w:r>
      <w:r>
        <w:rPr>
          <w:color w:val="231F20"/>
        </w:rPr>
        <w:t>plaintiff</w:t>
      </w:r>
      <w:r w:rsidRPr="001D2BF2">
        <w:rPr>
          <w:color w:val="231F20"/>
        </w:rPr>
        <w:t xml:space="preserve"> </w:t>
      </w:r>
      <w:r>
        <w:rPr>
          <w:color w:val="231F20"/>
        </w:rPr>
        <w:t>failed</w:t>
      </w:r>
      <w:r w:rsidRPr="001D2BF2">
        <w:rPr>
          <w:color w:val="231F20"/>
        </w:rPr>
        <w:t xml:space="preserve"> </w:t>
      </w:r>
      <w:r>
        <w:rPr>
          <w:color w:val="231F20"/>
        </w:rPr>
        <w:t>to</w:t>
      </w:r>
      <w:r w:rsidRPr="001D2BF2">
        <w:rPr>
          <w:color w:val="231F20"/>
        </w:rPr>
        <w:t xml:space="preserve"> </w:t>
      </w:r>
      <w:r>
        <w:rPr>
          <w:color w:val="231F20"/>
        </w:rPr>
        <w:t>comply</w:t>
      </w:r>
      <w:r w:rsidRPr="001D2BF2">
        <w:rPr>
          <w:color w:val="231F20"/>
        </w:rPr>
        <w:t xml:space="preserve"> </w:t>
      </w:r>
      <w:r>
        <w:rPr>
          <w:color w:val="231F20"/>
        </w:rPr>
        <w:t>with pretrial orders concerning identification of expert witnesses and timely disclosure of their testimony and therefore witnesses were barred. A supplemental expert designation filed by local counsel, who is not admitted in Virginia, was deemed to be an invalid instrument and therefore of no effect.</w:t>
      </w:r>
    </w:p>
    <w:p w14:paraId="3CE90177" w14:textId="77777777" w:rsidR="009910CD" w:rsidRDefault="00FC2690" w:rsidP="009C32E1">
      <w:pPr>
        <w:spacing w:before="132" w:line="240" w:lineRule="exact"/>
        <w:ind w:left="720" w:right="180"/>
      </w:pPr>
      <w:r>
        <w:rPr>
          <w:color w:val="231F20"/>
        </w:rPr>
        <w:t>2011—</w:t>
      </w:r>
      <w:r>
        <w:rPr>
          <w:i/>
          <w:color w:val="231F20"/>
        </w:rPr>
        <w:t>Condominium Services, Inc. v. First Owners’ Ass’n.</w:t>
      </w:r>
      <w:r>
        <w:rPr>
          <w:color w:val="231F20"/>
        </w:rPr>
        <w:t>, 281 Va. 561, 709 S.E.2d 163.</w:t>
      </w:r>
    </w:p>
    <w:p w14:paraId="51EA0C12" w14:textId="77777777" w:rsidR="009910CD" w:rsidRPr="001D2BF2" w:rsidRDefault="00FC2690" w:rsidP="001D2BF2">
      <w:pPr>
        <w:pStyle w:val="BodyText"/>
        <w:spacing w:before="120" w:after="120"/>
        <w:ind w:left="1440"/>
        <w:jc w:val="both"/>
        <w:rPr>
          <w:color w:val="231F20"/>
        </w:rPr>
      </w:pPr>
      <w:r>
        <w:rPr>
          <w:color w:val="231F20"/>
        </w:rPr>
        <w:t>In this case, FOA did not itemize the specific amounts of penalties and interest to be testified to. The interrogatory answer did disclose that</w:t>
      </w:r>
      <w:r w:rsidR="00B64C57">
        <w:rPr>
          <w:color w:val="231F20"/>
        </w:rPr>
        <w:t xml:space="preserve"> </w:t>
      </w:r>
      <w:r>
        <w:rPr>
          <w:color w:val="231F20"/>
        </w:rPr>
        <w:t>the</w:t>
      </w:r>
      <w:r w:rsidR="00B64C57">
        <w:rPr>
          <w:color w:val="231F20"/>
        </w:rPr>
        <w:t xml:space="preserve"> </w:t>
      </w:r>
      <w:r>
        <w:rPr>
          <w:color w:val="231F20"/>
        </w:rPr>
        <w:t>witnesses’</w:t>
      </w:r>
      <w:r w:rsidR="00B64C57">
        <w:rPr>
          <w:color w:val="231F20"/>
        </w:rPr>
        <w:t xml:space="preserve"> </w:t>
      </w:r>
      <w:r>
        <w:rPr>
          <w:color w:val="231F20"/>
        </w:rPr>
        <w:t>opinion</w:t>
      </w:r>
      <w:r w:rsidR="00B64C57">
        <w:rPr>
          <w:color w:val="231F20"/>
        </w:rPr>
        <w:t xml:space="preserve"> </w:t>
      </w:r>
      <w:r>
        <w:rPr>
          <w:color w:val="231F20"/>
        </w:rPr>
        <w:t>was</w:t>
      </w:r>
      <w:r w:rsidR="00B64C57">
        <w:rPr>
          <w:color w:val="231F20"/>
        </w:rPr>
        <w:t xml:space="preserve"> </w:t>
      </w:r>
      <w:r>
        <w:rPr>
          <w:color w:val="231F20"/>
        </w:rPr>
        <w:t>that</w:t>
      </w:r>
      <w:r w:rsidR="00B64C57">
        <w:rPr>
          <w:color w:val="231F20"/>
        </w:rPr>
        <w:t xml:space="preserve"> </w:t>
      </w:r>
      <w:r>
        <w:rPr>
          <w:color w:val="231F20"/>
        </w:rPr>
        <w:t>CSI’s</w:t>
      </w:r>
      <w:r w:rsidR="00B64C57">
        <w:rPr>
          <w:color w:val="231F20"/>
        </w:rPr>
        <w:t xml:space="preserve"> </w:t>
      </w:r>
      <w:r>
        <w:rPr>
          <w:color w:val="231F20"/>
        </w:rPr>
        <w:t>failures</w:t>
      </w:r>
      <w:r w:rsidR="00B64C57">
        <w:rPr>
          <w:color w:val="231F20"/>
        </w:rPr>
        <w:t xml:space="preserve"> </w:t>
      </w:r>
      <w:r>
        <w:rPr>
          <w:color w:val="231F20"/>
        </w:rPr>
        <w:t>resulted</w:t>
      </w:r>
      <w:r w:rsidR="00B64C57">
        <w:rPr>
          <w:color w:val="231F20"/>
        </w:rPr>
        <w:t xml:space="preserve"> </w:t>
      </w:r>
      <w:r>
        <w:rPr>
          <w:color w:val="231F20"/>
        </w:rPr>
        <w:t>in</w:t>
      </w:r>
      <w:r w:rsidR="001D2BF2">
        <w:rPr>
          <w:color w:val="231F20"/>
        </w:rPr>
        <w:t xml:space="preserve"> </w:t>
      </w:r>
      <w:r>
        <w:rPr>
          <w:color w:val="231F20"/>
        </w:rPr>
        <w:t>underpayment of taxes and FOA incurring interest and penalties. The Sup</w:t>
      </w:r>
      <w:r w:rsidR="00AE3B68">
        <w:rPr>
          <w:color w:val="231F20"/>
        </w:rPr>
        <w:t>reme Court in deference to the t</w:t>
      </w:r>
      <w:r>
        <w:rPr>
          <w:color w:val="231F20"/>
        </w:rPr>
        <w:t xml:space="preserve">rial </w:t>
      </w:r>
      <w:r w:rsidR="00AE3B68">
        <w:rPr>
          <w:color w:val="231F20"/>
        </w:rPr>
        <w:t>c</w:t>
      </w:r>
      <w:r>
        <w:rPr>
          <w:color w:val="231F20"/>
        </w:rPr>
        <w:t>ourt held that this answer was adequate.</w:t>
      </w:r>
    </w:p>
    <w:p w14:paraId="1ADDE037" w14:textId="77777777" w:rsidR="009910CD" w:rsidRDefault="00FC2690" w:rsidP="009C32E1">
      <w:pPr>
        <w:spacing w:before="120"/>
        <w:ind w:left="720"/>
      </w:pPr>
      <w:r>
        <w:rPr>
          <w:color w:val="231F20"/>
        </w:rPr>
        <w:t>2009—</w:t>
      </w:r>
      <w:r>
        <w:rPr>
          <w:i/>
          <w:color w:val="231F20"/>
        </w:rPr>
        <w:t>Graham v.</w:t>
      </w:r>
      <w:r w:rsidR="00B64C57">
        <w:rPr>
          <w:i/>
          <w:color w:val="231F20"/>
        </w:rPr>
        <w:t xml:space="preserve"> </w:t>
      </w:r>
      <w:r>
        <w:rPr>
          <w:i/>
          <w:color w:val="231F20"/>
        </w:rPr>
        <w:t>Cook</w:t>
      </w:r>
      <w:r>
        <w:rPr>
          <w:color w:val="231F20"/>
        </w:rPr>
        <w:t>, 278 Va.</w:t>
      </w:r>
      <w:r w:rsidR="00B64C57">
        <w:rPr>
          <w:color w:val="231F20"/>
        </w:rPr>
        <w:t xml:space="preserve"> </w:t>
      </w:r>
      <w:r>
        <w:rPr>
          <w:color w:val="231F20"/>
        </w:rPr>
        <w:t>233, 682 S.E.2d</w:t>
      </w:r>
      <w:r w:rsidR="00B64C57">
        <w:rPr>
          <w:color w:val="231F20"/>
        </w:rPr>
        <w:t xml:space="preserve"> </w:t>
      </w:r>
      <w:r>
        <w:rPr>
          <w:color w:val="231F20"/>
        </w:rPr>
        <w:t>535.</w:t>
      </w:r>
    </w:p>
    <w:p w14:paraId="4CEF5102" w14:textId="77777777" w:rsidR="009910CD" w:rsidRPr="001D2BF2" w:rsidRDefault="00FC2690" w:rsidP="001D2BF2">
      <w:pPr>
        <w:pStyle w:val="BodyText"/>
        <w:spacing w:before="120" w:after="120"/>
        <w:ind w:left="1440"/>
        <w:jc w:val="both"/>
        <w:rPr>
          <w:color w:val="231F20"/>
        </w:rPr>
      </w:pPr>
      <w:r>
        <w:rPr>
          <w:color w:val="231F20"/>
        </w:rPr>
        <w:t>Trial court properly limited cross-examination of radiologist called by</w:t>
      </w:r>
      <w:r w:rsidRPr="001D2BF2">
        <w:rPr>
          <w:color w:val="231F20"/>
        </w:rPr>
        <w:t xml:space="preserve"> </w:t>
      </w:r>
      <w:r>
        <w:rPr>
          <w:color w:val="231F20"/>
        </w:rPr>
        <w:t>the</w:t>
      </w:r>
      <w:r w:rsidRPr="001D2BF2">
        <w:rPr>
          <w:color w:val="231F20"/>
        </w:rPr>
        <w:t xml:space="preserve"> </w:t>
      </w:r>
      <w:r>
        <w:rPr>
          <w:color w:val="231F20"/>
        </w:rPr>
        <w:t>defense</w:t>
      </w:r>
      <w:r w:rsidRPr="001D2BF2">
        <w:rPr>
          <w:color w:val="231F20"/>
        </w:rPr>
        <w:t xml:space="preserve"> </w:t>
      </w:r>
      <w:r>
        <w:rPr>
          <w:color w:val="231F20"/>
        </w:rPr>
        <w:t>on</w:t>
      </w:r>
      <w:r w:rsidRPr="001D2BF2">
        <w:rPr>
          <w:color w:val="231F20"/>
        </w:rPr>
        <w:t xml:space="preserve"> </w:t>
      </w:r>
      <w:r>
        <w:rPr>
          <w:color w:val="231F20"/>
        </w:rPr>
        <w:t>the</w:t>
      </w:r>
      <w:r w:rsidRPr="001D2BF2">
        <w:rPr>
          <w:color w:val="231F20"/>
        </w:rPr>
        <w:t xml:space="preserve"> </w:t>
      </w:r>
      <w:r>
        <w:rPr>
          <w:color w:val="231F20"/>
        </w:rPr>
        <w:t>grounds</w:t>
      </w:r>
      <w:r w:rsidRPr="001D2BF2">
        <w:rPr>
          <w:color w:val="231F20"/>
        </w:rPr>
        <w:t xml:space="preserve"> </w:t>
      </w:r>
      <w:r>
        <w:rPr>
          <w:color w:val="231F20"/>
        </w:rPr>
        <w:t>that</w:t>
      </w:r>
      <w:r w:rsidRPr="001D2BF2">
        <w:rPr>
          <w:color w:val="231F20"/>
        </w:rPr>
        <w:t xml:space="preserve"> </w:t>
      </w:r>
      <w:r>
        <w:rPr>
          <w:color w:val="231F20"/>
        </w:rPr>
        <w:t>the</w:t>
      </w:r>
      <w:r w:rsidRPr="001D2BF2">
        <w:rPr>
          <w:color w:val="231F20"/>
        </w:rPr>
        <w:t xml:space="preserve"> </w:t>
      </w:r>
      <w:r>
        <w:rPr>
          <w:color w:val="231F20"/>
        </w:rPr>
        <w:t>cross-examination</w:t>
      </w:r>
      <w:r w:rsidRPr="001D2BF2">
        <w:rPr>
          <w:color w:val="231F20"/>
        </w:rPr>
        <w:t xml:space="preserve"> </w:t>
      </w:r>
      <w:r>
        <w:rPr>
          <w:color w:val="231F20"/>
        </w:rPr>
        <w:t>was</w:t>
      </w:r>
      <w:r w:rsidRPr="001D2BF2">
        <w:rPr>
          <w:color w:val="231F20"/>
        </w:rPr>
        <w:t xml:space="preserve"> </w:t>
      </w:r>
      <w:r>
        <w:rPr>
          <w:color w:val="231F20"/>
        </w:rPr>
        <w:t>simply an attempt by the plaintiff to seek an expert opinion from a witness who had not been designated as such by the</w:t>
      </w:r>
      <w:r w:rsidR="00B64C57">
        <w:rPr>
          <w:color w:val="231F20"/>
        </w:rPr>
        <w:t xml:space="preserve"> </w:t>
      </w:r>
      <w:r>
        <w:rPr>
          <w:color w:val="231F20"/>
        </w:rPr>
        <w:t>plaintiff.</w:t>
      </w:r>
    </w:p>
    <w:p w14:paraId="140387F4" w14:textId="77777777" w:rsidR="009910CD" w:rsidRDefault="00FC2690" w:rsidP="00AF062B">
      <w:pPr>
        <w:pStyle w:val="Heading4"/>
        <w:numPr>
          <w:ilvl w:val="0"/>
          <w:numId w:val="8"/>
        </w:numPr>
        <w:ind w:left="1170" w:hanging="450"/>
        <w:jc w:val="left"/>
      </w:pPr>
      <w:r>
        <w:rPr>
          <w:color w:val="231F20"/>
        </w:rPr>
        <w:t xml:space="preserve">Authoritative </w:t>
      </w:r>
      <w:r>
        <w:rPr>
          <w:color w:val="231F20"/>
          <w:spacing w:val="-6"/>
        </w:rPr>
        <w:t xml:space="preserve">Text </w:t>
      </w:r>
      <w:r>
        <w:rPr>
          <w:color w:val="231F20"/>
        </w:rPr>
        <w:t>or</w:t>
      </w:r>
      <w:r>
        <w:rPr>
          <w:color w:val="231F20"/>
          <w:spacing w:val="49"/>
        </w:rPr>
        <w:t xml:space="preserve"> </w:t>
      </w:r>
      <w:r>
        <w:rPr>
          <w:color w:val="231F20"/>
        </w:rPr>
        <w:t>Journal</w:t>
      </w:r>
    </w:p>
    <w:p w14:paraId="66836764" w14:textId="77777777" w:rsidR="009910CD" w:rsidRDefault="00FC2690" w:rsidP="009C32E1">
      <w:pPr>
        <w:spacing w:before="141" w:line="250" w:lineRule="exact"/>
        <w:ind w:left="720" w:right="821"/>
      </w:pPr>
      <w:r>
        <w:rPr>
          <w:color w:val="231F20"/>
        </w:rPr>
        <w:t>2014—</w:t>
      </w:r>
      <w:r>
        <w:rPr>
          <w:i/>
          <w:color w:val="231F20"/>
        </w:rPr>
        <w:t>Harman v. Honeywell International, Inc.</w:t>
      </w:r>
      <w:r>
        <w:rPr>
          <w:color w:val="231F20"/>
        </w:rPr>
        <w:t>, 288 Va. 84, 758 S.E.2d 515.</w:t>
      </w:r>
    </w:p>
    <w:p w14:paraId="5A2259AB" w14:textId="77777777" w:rsidR="009910CD" w:rsidRPr="001D2BF2" w:rsidRDefault="00FC2690" w:rsidP="001D2BF2">
      <w:pPr>
        <w:pStyle w:val="BodyText"/>
        <w:spacing w:before="120" w:after="120"/>
        <w:ind w:left="1440"/>
        <w:jc w:val="both"/>
        <w:rPr>
          <w:color w:val="231F20"/>
        </w:rPr>
      </w:pPr>
      <w:r>
        <w:rPr>
          <w:color w:val="231F20"/>
        </w:rPr>
        <w:t>Accident investigation report wa</w:t>
      </w:r>
      <w:r w:rsidR="00AB18B1">
        <w:rPr>
          <w:color w:val="231F20"/>
        </w:rPr>
        <w:t>s improperly admitted into evi</w:t>
      </w:r>
      <w:r>
        <w:rPr>
          <w:color w:val="231F20"/>
        </w:rPr>
        <w:t>dence as learned treatise under Va. Code § 8.01-401.1. It should not have been designated as such and was therefore not</w:t>
      </w:r>
      <w:r w:rsidR="00B64C57">
        <w:rPr>
          <w:color w:val="231F20"/>
        </w:rPr>
        <w:t xml:space="preserve"> </w:t>
      </w:r>
      <w:r>
        <w:rPr>
          <w:color w:val="231F20"/>
        </w:rPr>
        <w:t>admissible.</w:t>
      </w:r>
    </w:p>
    <w:p w14:paraId="72D6D600" w14:textId="77777777" w:rsidR="009910CD" w:rsidRDefault="00FC2690" w:rsidP="00AF062B">
      <w:pPr>
        <w:pStyle w:val="Heading4"/>
        <w:numPr>
          <w:ilvl w:val="0"/>
          <w:numId w:val="7"/>
        </w:numPr>
        <w:spacing w:before="78"/>
        <w:ind w:left="1170" w:hanging="450"/>
      </w:pPr>
      <w:r>
        <w:rPr>
          <w:color w:val="231F20"/>
        </w:rPr>
        <w:t>Miscellaneous</w:t>
      </w:r>
    </w:p>
    <w:p w14:paraId="6D0ABBC3" w14:textId="77777777" w:rsidR="00EB729A" w:rsidRDefault="00EB729A" w:rsidP="009C32E1">
      <w:pPr>
        <w:spacing w:before="125"/>
        <w:ind w:left="720"/>
        <w:rPr>
          <w:color w:val="231F20"/>
        </w:rPr>
      </w:pPr>
      <w:r>
        <w:rPr>
          <w:color w:val="231F20"/>
        </w:rPr>
        <w:t>2020—</w:t>
      </w:r>
      <w:r>
        <w:rPr>
          <w:i/>
          <w:color w:val="231F20"/>
        </w:rPr>
        <w:t xml:space="preserve">Graves </w:t>
      </w:r>
      <w:r>
        <w:rPr>
          <w:i/>
          <w:color w:val="231F20"/>
          <w:spacing w:val="-9"/>
        </w:rPr>
        <w:t xml:space="preserve">v. </w:t>
      </w:r>
      <w:r>
        <w:rPr>
          <w:i/>
          <w:color w:val="231F20"/>
        </w:rPr>
        <w:t>Shoemaker</w:t>
      </w:r>
      <w:r>
        <w:rPr>
          <w:color w:val="231F20"/>
        </w:rPr>
        <w:t xml:space="preserve">, 299 </w:t>
      </w:r>
      <w:r>
        <w:rPr>
          <w:color w:val="231F20"/>
          <w:spacing w:val="-9"/>
        </w:rPr>
        <w:t xml:space="preserve">Va. </w:t>
      </w:r>
      <w:r>
        <w:rPr>
          <w:color w:val="231F20"/>
        </w:rPr>
        <w:t>357, 851 S.E.2d</w:t>
      </w:r>
      <w:r>
        <w:rPr>
          <w:color w:val="231F20"/>
          <w:spacing w:val="50"/>
        </w:rPr>
        <w:t xml:space="preserve"> </w:t>
      </w:r>
      <w:r>
        <w:rPr>
          <w:color w:val="231F20"/>
        </w:rPr>
        <w:t>65</w:t>
      </w:r>
    </w:p>
    <w:p w14:paraId="435BBEFD" w14:textId="6067F3D6" w:rsidR="00EB729A" w:rsidRDefault="00EB729A" w:rsidP="00BD1668">
      <w:pPr>
        <w:spacing w:before="125"/>
        <w:ind w:left="1440"/>
        <w:jc w:val="both"/>
        <w:rPr>
          <w:color w:val="231F20"/>
        </w:rPr>
      </w:pPr>
      <w:r>
        <w:rPr>
          <w:color w:val="231F20"/>
        </w:rPr>
        <w:t>In this auto crash case defendant’s expert witness had received nearly $800,000</w:t>
      </w:r>
      <w:r w:rsidR="00E93A6C">
        <w:rPr>
          <w:color w:val="231F20"/>
        </w:rPr>
        <w:t xml:space="preserve"> from insurer for favorable expert testimony over the course of seven (7) years creating potential for relevant bias that outweighed potential harm of mention of insurance.  In this case the expert was retained by counsel, not by the carrier.  That did not bar admissibility.  </w:t>
      </w:r>
    </w:p>
    <w:p w14:paraId="36DCB8E2" w14:textId="29FBFE69" w:rsidR="009910CD" w:rsidRDefault="00FC2690" w:rsidP="009C32E1">
      <w:pPr>
        <w:spacing w:before="125"/>
        <w:ind w:left="720"/>
      </w:pPr>
      <w:r>
        <w:rPr>
          <w:color w:val="231F20"/>
        </w:rPr>
        <w:t>2009—</w:t>
      </w:r>
      <w:r>
        <w:rPr>
          <w:i/>
          <w:color w:val="231F20"/>
        </w:rPr>
        <w:t xml:space="preserve">Kitt </w:t>
      </w:r>
      <w:r>
        <w:rPr>
          <w:i/>
          <w:color w:val="231F20"/>
          <w:spacing w:val="-9"/>
        </w:rPr>
        <w:t>v.</w:t>
      </w:r>
      <w:r w:rsidR="00B64C57">
        <w:rPr>
          <w:i/>
          <w:color w:val="231F20"/>
          <w:spacing w:val="-9"/>
        </w:rPr>
        <w:t xml:space="preserve"> </w:t>
      </w:r>
      <w:r>
        <w:rPr>
          <w:i/>
          <w:color w:val="231F20"/>
        </w:rPr>
        <w:t>Crosby</w:t>
      </w:r>
      <w:r>
        <w:rPr>
          <w:color w:val="231F20"/>
        </w:rPr>
        <w:t xml:space="preserve">, 277 </w:t>
      </w:r>
      <w:r>
        <w:rPr>
          <w:color w:val="231F20"/>
          <w:spacing w:val="-9"/>
        </w:rPr>
        <w:t>Va.</w:t>
      </w:r>
      <w:r w:rsidR="00B64C57">
        <w:rPr>
          <w:color w:val="231F20"/>
          <w:spacing w:val="-9"/>
        </w:rPr>
        <w:t xml:space="preserve"> </w:t>
      </w:r>
      <w:r>
        <w:rPr>
          <w:color w:val="231F20"/>
        </w:rPr>
        <w:t>396, 672 S.E.2d</w:t>
      </w:r>
      <w:r>
        <w:rPr>
          <w:color w:val="231F20"/>
          <w:spacing w:val="50"/>
        </w:rPr>
        <w:t xml:space="preserve"> </w:t>
      </w:r>
      <w:r>
        <w:rPr>
          <w:color w:val="231F20"/>
        </w:rPr>
        <w:t>851.</w:t>
      </w:r>
    </w:p>
    <w:p w14:paraId="4CAD8BBF" w14:textId="77777777" w:rsidR="009910CD" w:rsidRDefault="00FC2690" w:rsidP="001D2BF2">
      <w:pPr>
        <w:pStyle w:val="BodyText"/>
        <w:spacing w:before="120" w:after="120"/>
        <w:ind w:left="1440"/>
        <w:jc w:val="both"/>
        <w:rPr>
          <w:color w:val="231F20"/>
        </w:rPr>
      </w:pPr>
      <w:r>
        <w:rPr>
          <w:color w:val="231F20"/>
        </w:rPr>
        <w:t xml:space="preserve">When one party seeks to disqualify the expert of an opposing party because the expert had been previously retained by the first </w:t>
      </w:r>
      <w:r w:rsidRPr="001D2BF2">
        <w:rPr>
          <w:color w:val="231F20"/>
        </w:rPr>
        <w:t xml:space="preserve">party, </w:t>
      </w:r>
      <w:r>
        <w:rPr>
          <w:color w:val="231F20"/>
        </w:rPr>
        <w:t>the analysis is whether it was objectively reasonable for the party who claims to have first retained the expert to conclude that a confidential relationship existed between that party and the expert and</w:t>
      </w:r>
      <w:r w:rsidRPr="001D2BF2">
        <w:rPr>
          <w:color w:val="231F20"/>
        </w:rPr>
        <w:t xml:space="preserve"> </w:t>
      </w:r>
      <w:r>
        <w:rPr>
          <w:color w:val="231F20"/>
        </w:rPr>
        <w:t>did</w:t>
      </w:r>
      <w:r w:rsidRPr="001D2BF2">
        <w:rPr>
          <w:color w:val="231F20"/>
        </w:rPr>
        <w:t xml:space="preserve"> </w:t>
      </w:r>
      <w:r>
        <w:rPr>
          <w:color w:val="231F20"/>
        </w:rPr>
        <w:t>that</w:t>
      </w:r>
      <w:r w:rsidRPr="001D2BF2">
        <w:rPr>
          <w:color w:val="231F20"/>
        </w:rPr>
        <w:t xml:space="preserve"> </w:t>
      </w:r>
      <w:r>
        <w:rPr>
          <w:color w:val="231F20"/>
        </w:rPr>
        <w:t>party</w:t>
      </w:r>
      <w:r w:rsidRPr="001D2BF2">
        <w:rPr>
          <w:color w:val="231F20"/>
        </w:rPr>
        <w:t xml:space="preserve"> </w:t>
      </w:r>
      <w:r>
        <w:rPr>
          <w:color w:val="231F20"/>
        </w:rPr>
        <w:t>disclose</w:t>
      </w:r>
      <w:r w:rsidRPr="001D2BF2">
        <w:rPr>
          <w:color w:val="231F20"/>
        </w:rPr>
        <w:t xml:space="preserve"> </w:t>
      </w:r>
      <w:r>
        <w:rPr>
          <w:color w:val="231F20"/>
        </w:rPr>
        <w:t>any</w:t>
      </w:r>
      <w:r w:rsidRPr="001D2BF2">
        <w:rPr>
          <w:color w:val="231F20"/>
        </w:rPr>
        <w:t xml:space="preserve"> </w:t>
      </w:r>
      <w:r>
        <w:rPr>
          <w:color w:val="231F20"/>
        </w:rPr>
        <w:t>confidential</w:t>
      </w:r>
      <w:r w:rsidRPr="001D2BF2">
        <w:rPr>
          <w:color w:val="231F20"/>
        </w:rPr>
        <w:t xml:space="preserve"> </w:t>
      </w:r>
      <w:r>
        <w:rPr>
          <w:color w:val="231F20"/>
        </w:rPr>
        <w:t>or</w:t>
      </w:r>
      <w:r w:rsidRPr="001D2BF2">
        <w:rPr>
          <w:color w:val="231F20"/>
        </w:rPr>
        <w:t xml:space="preserve"> </w:t>
      </w:r>
      <w:r>
        <w:rPr>
          <w:color w:val="231F20"/>
        </w:rPr>
        <w:t>privileged</w:t>
      </w:r>
      <w:r w:rsidRPr="001D2BF2">
        <w:rPr>
          <w:color w:val="231F20"/>
        </w:rPr>
        <w:t xml:space="preserve"> </w:t>
      </w:r>
      <w:r>
        <w:rPr>
          <w:color w:val="231F20"/>
        </w:rPr>
        <w:t>information to the expert. The party seeking disqualification has the burden on these</w:t>
      </w:r>
      <w:r w:rsidRPr="001D2BF2">
        <w:rPr>
          <w:color w:val="231F20"/>
        </w:rPr>
        <w:t xml:space="preserve"> </w:t>
      </w:r>
      <w:r>
        <w:rPr>
          <w:color w:val="231F20"/>
        </w:rPr>
        <w:t>issues.</w:t>
      </w:r>
    </w:p>
    <w:p w14:paraId="0A256973" w14:textId="77777777" w:rsidR="00C9136F" w:rsidRPr="001D2BF2" w:rsidRDefault="00C9136F" w:rsidP="001D2BF2">
      <w:pPr>
        <w:pStyle w:val="BodyText"/>
        <w:spacing w:before="120" w:after="120"/>
        <w:ind w:left="1440"/>
        <w:jc w:val="both"/>
        <w:rPr>
          <w:color w:val="231F20"/>
        </w:rPr>
      </w:pPr>
    </w:p>
    <w:p w14:paraId="1F53ECBC" w14:textId="77777777" w:rsidR="000E25FE" w:rsidRDefault="000E25FE">
      <w:pPr>
        <w:rPr>
          <w:b/>
          <w:bCs/>
          <w:color w:val="231F20"/>
        </w:rPr>
      </w:pPr>
      <w:r>
        <w:rPr>
          <w:color w:val="231F20"/>
        </w:rPr>
        <w:br w:type="page"/>
      </w:r>
    </w:p>
    <w:p w14:paraId="38D6E977" w14:textId="7816D770" w:rsidR="009910CD" w:rsidRDefault="00FC2690" w:rsidP="00AF062B">
      <w:pPr>
        <w:pStyle w:val="Heading4"/>
        <w:numPr>
          <w:ilvl w:val="0"/>
          <w:numId w:val="7"/>
        </w:numPr>
        <w:spacing w:before="78"/>
        <w:ind w:left="1170" w:hanging="450"/>
      </w:pPr>
      <w:r>
        <w:rPr>
          <w:color w:val="231F20"/>
        </w:rPr>
        <w:lastRenderedPageBreak/>
        <w:t>Qualification of</w:t>
      </w:r>
      <w:r>
        <w:rPr>
          <w:color w:val="231F20"/>
          <w:spacing w:val="19"/>
        </w:rPr>
        <w:t xml:space="preserve"> </w:t>
      </w:r>
      <w:r>
        <w:rPr>
          <w:color w:val="231F20"/>
        </w:rPr>
        <w:t>Expert</w:t>
      </w:r>
    </w:p>
    <w:p w14:paraId="431CE87F" w14:textId="5B532BF6" w:rsidR="00120524" w:rsidRDefault="00120524" w:rsidP="00DF5F80">
      <w:pPr>
        <w:spacing w:before="126"/>
        <w:ind w:left="720"/>
      </w:pPr>
      <w:r>
        <w:rPr>
          <w:color w:val="231F20"/>
        </w:rPr>
        <w:t>2019</w:t>
      </w:r>
      <w:r w:rsidRPr="007A00D1">
        <w:rPr>
          <w:color w:val="231F20"/>
        </w:rPr>
        <w:t>—</w:t>
      </w:r>
      <w:r>
        <w:rPr>
          <w:i/>
          <w:color w:val="231F20"/>
        </w:rPr>
        <w:t>Gross</w:t>
      </w:r>
      <w:r w:rsidRPr="007A00D1">
        <w:rPr>
          <w:i/>
          <w:color w:val="231F20"/>
        </w:rPr>
        <w:t xml:space="preserve"> v. </w:t>
      </w:r>
      <w:r>
        <w:rPr>
          <w:i/>
          <w:color w:val="231F20"/>
        </w:rPr>
        <w:t>Stuart</w:t>
      </w:r>
      <w:r w:rsidRPr="007A00D1">
        <w:rPr>
          <w:color w:val="231F20"/>
        </w:rPr>
        <w:t xml:space="preserve">, </w:t>
      </w:r>
      <w:r>
        <w:rPr>
          <w:color w:val="231F20"/>
        </w:rPr>
        <w:t>297</w:t>
      </w:r>
      <w:r w:rsidRPr="007A00D1">
        <w:rPr>
          <w:color w:val="231F20"/>
        </w:rPr>
        <w:t xml:space="preserve"> Va. </w:t>
      </w:r>
      <w:r>
        <w:rPr>
          <w:color w:val="231F20"/>
        </w:rPr>
        <w:t>769</w:t>
      </w:r>
      <w:r w:rsidRPr="007A00D1">
        <w:rPr>
          <w:color w:val="231F20"/>
        </w:rPr>
        <w:t xml:space="preserve">, </w:t>
      </w:r>
      <w:r>
        <w:rPr>
          <w:color w:val="231F20"/>
        </w:rPr>
        <w:t>831</w:t>
      </w:r>
      <w:r w:rsidRPr="007A00D1">
        <w:rPr>
          <w:color w:val="231F20"/>
        </w:rPr>
        <w:t xml:space="preserve"> S.E.2d </w:t>
      </w:r>
      <w:r>
        <w:rPr>
          <w:color w:val="231F20"/>
        </w:rPr>
        <w:t>726</w:t>
      </w:r>
      <w:r w:rsidRPr="007A00D1">
        <w:rPr>
          <w:color w:val="231F20"/>
        </w:rPr>
        <w:t>.</w:t>
      </w:r>
    </w:p>
    <w:p w14:paraId="47101811" w14:textId="700D70F8" w:rsidR="00120524" w:rsidRPr="001D2BF2" w:rsidRDefault="00BC67AF" w:rsidP="007A00D1">
      <w:pPr>
        <w:pStyle w:val="BodyText"/>
        <w:spacing w:before="120" w:after="120"/>
        <w:ind w:left="1440"/>
        <w:jc w:val="both"/>
        <w:rPr>
          <w:color w:val="231F20"/>
        </w:rPr>
      </w:pPr>
      <w:r>
        <w:rPr>
          <w:color w:val="231F20"/>
        </w:rPr>
        <w:t xml:space="preserve">Expert may be impeached based upon prior disciplinary action by Board of Medicine.  </w:t>
      </w:r>
    </w:p>
    <w:p w14:paraId="27C75439" w14:textId="77777777" w:rsidR="009910CD" w:rsidRDefault="00FC2690" w:rsidP="009C32E1">
      <w:pPr>
        <w:spacing w:before="126"/>
        <w:ind w:left="720"/>
      </w:pPr>
      <w:r>
        <w:rPr>
          <w:color w:val="231F20"/>
        </w:rPr>
        <w:t>201</w:t>
      </w:r>
      <w:r w:rsidR="00794880">
        <w:rPr>
          <w:color w:val="231F20"/>
        </w:rPr>
        <w:t>8</w:t>
      </w:r>
      <w:r>
        <w:rPr>
          <w:color w:val="231F20"/>
        </w:rPr>
        <w:t>—</w:t>
      </w:r>
      <w:r w:rsidR="00794880">
        <w:rPr>
          <w:i/>
          <w:color w:val="231F20"/>
        </w:rPr>
        <w:t>Holt</w:t>
      </w:r>
      <w:r>
        <w:rPr>
          <w:i/>
          <w:color w:val="231F20"/>
        </w:rPr>
        <w:t xml:space="preserve"> v.</w:t>
      </w:r>
      <w:r w:rsidR="00B64C57">
        <w:rPr>
          <w:i/>
          <w:color w:val="231F20"/>
        </w:rPr>
        <w:t xml:space="preserve"> </w:t>
      </w:r>
      <w:r w:rsidR="00794880">
        <w:rPr>
          <w:i/>
          <w:color w:val="231F20"/>
        </w:rPr>
        <w:t>Chalmeta</w:t>
      </w:r>
      <w:r>
        <w:rPr>
          <w:color w:val="231F20"/>
        </w:rPr>
        <w:t xml:space="preserve">, </w:t>
      </w:r>
      <w:r w:rsidR="00794880">
        <w:rPr>
          <w:color w:val="231F20"/>
        </w:rPr>
        <w:t>295</w:t>
      </w:r>
      <w:r>
        <w:rPr>
          <w:color w:val="231F20"/>
        </w:rPr>
        <w:t xml:space="preserve"> Va.</w:t>
      </w:r>
      <w:r w:rsidR="00B64C57">
        <w:rPr>
          <w:color w:val="231F20"/>
        </w:rPr>
        <w:t xml:space="preserve"> </w:t>
      </w:r>
      <w:r w:rsidR="00794880">
        <w:rPr>
          <w:color w:val="231F20"/>
        </w:rPr>
        <w:t>22</w:t>
      </w:r>
      <w:r>
        <w:rPr>
          <w:color w:val="231F20"/>
        </w:rPr>
        <w:t xml:space="preserve">, </w:t>
      </w:r>
      <w:r w:rsidR="00794880">
        <w:rPr>
          <w:color w:val="231F20"/>
        </w:rPr>
        <w:t>80</w:t>
      </w:r>
      <w:r>
        <w:rPr>
          <w:color w:val="231F20"/>
        </w:rPr>
        <w:t>9 S.E.2d</w:t>
      </w:r>
      <w:r w:rsidR="00B64C57">
        <w:rPr>
          <w:color w:val="231F20"/>
        </w:rPr>
        <w:t xml:space="preserve"> </w:t>
      </w:r>
      <w:r>
        <w:rPr>
          <w:color w:val="231F20"/>
        </w:rPr>
        <w:t>6</w:t>
      </w:r>
      <w:r w:rsidR="00794880">
        <w:rPr>
          <w:color w:val="231F20"/>
        </w:rPr>
        <w:t>36</w:t>
      </w:r>
      <w:r>
        <w:rPr>
          <w:color w:val="231F20"/>
        </w:rPr>
        <w:t>.</w:t>
      </w:r>
    </w:p>
    <w:p w14:paraId="24F6C7F4" w14:textId="696E69EF" w:rsidR="009910CD" w:rsidRPr="001D2BF2" w:rsidRDefault="00794880" w:rsidP="001D2BF2">
      <w:pPr>
        <w:pStyle w:val="BodyText"/>
        <w:spacing w:before="120" w:after="120"/>
        <w:ind w:left="1440"/>
        <w:jc w:val="both"/>
        <w:rPr>
          <w:color w:val="231F20"/>
        </w:rPr>
      </w:pPr>
      <w:r>
        <w:rPr>
          <w:color w:val="231F20"/>
        </w:rPr>
        <w:t xml:space="preserve">Trial Court erred in not allowing expert to testify in this medical malpractice case where there was evidence that she satisfied both the knowledge and active clinical practice requirements of </w:t>
      </w:r>
      <w:r w:rsidR="002F24E0">
        <w:rPr>
          <w:color w:val="231F20"/>
        </w:rPr>
        <w:t>Va.</w:t>
      </w:r>
      <w:r>
        <w:rPr>
          <w:color w:val="231F20"/>
        </w:rPr>
        <w:t xml:space="preserve"> Code §</w:t>
      </w:r>
      <w:r w:rsidR="001A6256">
        <w:rPr>
          <w:color w:val="231F20"/>
        </w:rPr>
        <w:t xml:space="preserve">8.01-581.20.  </w:t>
      </w:r>
    </w:p>
    <w:p w14:paraId="2A61ACCA" w14:textId="6297FF1E" w:rsidR="00794880" w:rsidRDefault="00794880" w:rsidP="009C32E1">
      <w:pPr>
        <w:spacing w:before="126"/>
        <w:ind w:left="720"/>
      </w:pPr>
      <w:r>
        <w:rPr>
          <w:color w:val="231F20"/>
        </w:rPr>
        <w:t>2010—</w:t>
      </w:r>
      <w:r>
        <w:rPr>
          <w:i/>
          <w:color w:val="231F20"/>
        </w:rPr>
        <w:t>Hollingsworth v. Norfolk S. Ry.</w:t>
      </w:r>
      <w:r>
        <w:rPr>
          <w:color w:val="231F20"/>
        </w:rPr>
        <w:t>, 279 Va. 360, 689 S.E.2d 651.</w:t>
      </w:r>
    </w:p>
    <w:p w14:paraId="002E905D" w14:textId="77777777" w:rsidR="00794880" w:rsidRPr="001D2BF2" w:rsidRDefault="00794880" w:rsidP="001D2BF2">
      <w:pPr>
        <w:pStyle w:val="BodyText"/>
        <w:spacing w:before="120" w:after="120"/>
        <w:ind w:left="1440"/>
        <w:jc w:val="both"/>
        <w:rPr>
          <w:color w:val="231F20"/>
        </w:rPr>
      </w:pPr>
      <w:r>
        <w:rPr>
          <w:color w:val="231F20"/>
        </w:rPr>
        <w:t>In this FELA case, the circuit court properly refused to admit testimony of podiatrists because they were not medical doctors and therefore not qualified to render expert opinions on causation.</w:t>
      </w:r>
    </w:p>
    <w:p w14:paraId="539027EB" w14:textId="77777777" w:rsidR="009910CD" w:rsidRDefault="00FC2690" w:rsidP="009C32E1">
      <w:pPr>
        <w:spacing w:before="118"/>
        <w:ind w:left="720"/>
      </w:pPr>
      <w:r>
        <w:rPr>
          <w:color w:val="231F20"/>
        </w:rPr>
        <w:t>2009—</w:t>
      </w:r>
      <w:r>
        <w:rPr>
          <w:i/>
          <w:color w:val="231F20"/>
        </w:rPr>
        <w:t>Jackson v.</w:t>
      </w:r>
      <w:r w:rsidR="00B64C57">
        <w:rPr>
          <w:i/>
          <w:color w:val="231F20"/>
        </w:rPr>
        <w:t xml:space="preserve"> </w:t>
      </w:r>
      <w:r>
        <w:rPr>
          <w:i/>
          <w:color w:val="231F20"/>
        </w:rPr>
        <w:t>Qureshi</w:t>
      </w:r>
      <w:r>
        <w:rPr>
          <w:color w:val="231F20"/>
        </w:rPr>
        <w:t>, 277 Va.</w:t>
      </w:r>
      <w:r w:rsidR="00B64C57">
        <w:rPr>
          <w:color w:val="231F20"/>
        </w:rPr>
        <w:t xml:space="preserve"> </w:t>
      </w:r>
      <w:r>
        <w:rPr>
          <w:color w:val="231F20"/>
        </w:rPr>
        <w:t>114, 671 S.E.2d</w:t>
      </w:r>
      <w:r w:rsidR="00B64C57">
        <w:rPr>
          <w:color w:val="231F20"/>
        </w:rPr>
        <w:t xml:space="preserve"> </w:t>
      </w:r>
      <w:r>
        <w:rPr>
          <w:color w:val="231F20"/>
        </w:rPr>
        <w:t>163.</w:t>
      </w:r>
    </w:p>
    <w:p w14:paraId="5C5837A3" w14:textId="77777777" w:rsidR="009910CD" w:rsidRPr="001D2BF2" w:rsidRDefault="00FC2690" w:rsidP="001D2BF2">
      <w:pPr>
        <w:pStyle w:val="BodyText"/>
        <w:spacing w:before="120" w:after="120"/>
        <w:ind w:left="1440"/>
        <w:jc w:val="both"/>
        <w:rPr>
          <w:color w:val="231F20"/>
        </w:rPr>
      </w:pPr>
      <w:r>
        <w:rPr>
          <w:color w:val="231F20"/>
        </w:rPr>
        <w:t>In this medical malpractice action, trial court improperly struck expert</w:t>
      </w:r>
      <w:r w:rsidRPr="001D2BF2">
        <w:rPr>
          <w:color w:val="231F20"/>
        </w:rPr>
        <w:t xml:space="preserve"> </w:t>
      </w:r>
      <w:r>
        <w:rPr>
          <w:color w:val="231F20"/>
        </w:rPr>
        <w:t>witness.</w:t>
      </w:r>
      <w:r w:rsidRPr="001D2BF2">
        <w:rPr>
          <w:color w:val="231F20"/>
        </w:rPr>
        <w:t xml:space="preserve"> </w:t>
      </w:r>
      <w:r>
        <w:rPr>
          <w:color w:val="231F20"/>
        </w:rPr>
        <w:t>Issue</w:t>
      </w:r>
      <w:r w:rsidRPr="001D2BF2">
        <w:rPr>
          <w:color w:val="231F20"/>
        </w:rPr>
        <w:t xml:space="preserve"> </w:t>
      </w:r>
      <w:r>
        <w:rPr>
          <w:color w:val="231F20"/>
        </w:rPr>
        <w:t>that</w:t>
      </w:r>
      <w:r w:rsidRPr="001D2BF2">
        <w:rPr>
          <w:color w:val="231F20"/>
        </w:rPr>
        <w:t xml:space="preserve"> </w:t>
      </w:r>
      <w:r>
        <w:rPr>
          <w:color w:val="231F20"/>
        </w:rPr>
        <w:t>expert</w:t>
      </w:r>
      <w:r w:rsidRPr="001D2BF2">
        <w:rPr>
          <w:color w:val="231F20"/>
        </w:rPr>
        <w:t xml:space="preserve"> </w:t>
      </w:r>
      <w:r>
        <w:rPr>
          <w:color w:val="231F20"/>
        </w:rPr>
        <w:t>was</w:t>
      </w:r>
      <w:r w:rsidRPr="001D2BF2">
        <w:rPr>
          <w:color w:val="231F20"/>
        </w:rPr>
        <w:t xml:space="preserve"> </w:t>
      </w:r>
      <w:r>
        <w:rPr>
          <w:color w:val="231F20"/>
        </w:rPr>
        <w:t>to</w:t>
      </w:r>
      <w:r w:rsidRPr="001D2BF2">
        <w:rPr>
          <w:color w:val="231F20"/>
        </w:rPr>
        <w:t xml:space="preserve"> </w:t>
      </w:r>
      <w:r>
        <w:rPr>
          <w:color w:val="231F20"/>
        </w:rPr>
        <w:t>testify</w:t>
      </w:r>
      <w:r w:rsidRPr="001D2BF2">
        <w:rPr>
          <w:color w:val="231F20"/>
        </w:rPr>
        <w:t xml:space="preserve"> </w:t>
      </w:r>
      <w:r>
        <w:rPr>
          <w:color w:val="231F20"/>
        </w:rPr>
        <w:t>on</w:t>
      </w:r>
      <w:r w:rsidRPr="001D2BF2">
        <w:rPr>
          <w:color w:val="231F20"/>
        </w:rPr>
        <w:t xml:space="preserve"> </w:t>
      </w:r>
      <w:r>
        <w:rPr>
          <w:color w:val="231F20"/>
        </w:rPr>
        <w:t>was</w:t>
      </w:r>
      <w:r w:rsidRPr="001D2BF2">
        <w:rPr>
          <w:color w:val="231F20"/>
        </w:rPr>
        <w:t xml:space="preserve"> </w:t>
      </w:r>
      <w:r>
        <w:rPr>
          <w:color w:val="231F20"/>
        </w:rPr>
        <w:t>whether</w:t>
      </w:r>
      <w:r w:rsidRPr="001D2BF2">
        <w:rPr>
          <w:color w:val="231F20"/>
        </w:rPr>
        <w:t xml:space="preserve"> </w:t>
      </w:r>
      <w:r>
        <w:rPr>
          <w:color w:val="231F20"/>
        </w:rPr>
        <w:t>infant should have been admitted to inpatient hospital care when he presented at the emergency room showing signs of respiratory distress and/or pertussis. The record is clear that the witness</w:t>
      </w:r>
      <w:r w:rsidRPr="001D2BF2">
        <w:rPr>
          <w:color w:val="231F20"/>
        </w:rPr>
        <w:t xml:space="preserve"> </w:t>
      </w:r>
      <w:r>
        <w:rPr>
          <w:color w:val="231F20"/>
        </w:rPr>
        <w:t>directly treated</w:t>
      </w:r>
      <w:r w:rsidRPr="001D2BF2">
        <w:rPr>
          <w:color w:val="231F20"/>
        </w:rPr>
        <w:t xml:space="preserve"> </w:t>
      </w:r>
      <w:r>
        <w:rPr>
          <w:color w:val="231F20"/>
        </w:rPr>
        <w:t>patients</w:t>
      </w:r>
      <w:r w:rsidRPr="001D2BF2">
        <w:rPr>
          <w:color w:val="231F20"/>
        </w:rPr>
        <w:t xml:space="preserve"> </w:t>
      </w:r>
      <w:r>
        <w:rPr>
          <w:color w:val="231F20"/>
        </w:rPr>
        <w:t>who</w:t>
      </w:r>
      <w:r w:rsidRPr="001D2BF2">
        <w:rPr>
          <w:color w:val="231F20"/>
        </w:rPr>
        <w:t xml:space="preserve"> </w:t>
      </w:r>
      <w:r>
        <w:rPr>
          <w:color w:val="231F20"/>
        </w:rPr>
        <w:t>presented</w:t>
      </w:r>
      <w:r w:rsidRPr="001D2BF2">
        <w:rPr>
          <w:color w:val="231F20"/>
        </w:rPr>
        <w:t xml:space="preserve"> </w:t>
      </w:r>
      <w:r>
        <w:rPr>
          <w:color w:val="231F20"/>
        </w:rPr>
        <w:t>with</w:t>
      </w:r>
      <w:r w:rsidRPr="001D2BF2">
        <w:rPr>
          <w:color w:val="231F20"/>
        </w:rPr>
        <w:t xml:space="preserve"> </w:t>
      </w:r>
      <w:r>
        <w:rPr>
          <w:color w:val="231F20"/>
        </w:rPr>
        <w:t>this</w:t>
      </w:r>
      <w:r w:rsidRPr="001D2BF2">
        <w:rPr>
          <w:color w:val="231F20"/>
        </w:rPr>
        <w:t xml:space="preserve"> </w:t>
      </w:r>
      <w:r>
        <w:rPr>
          <w:color w:val="231F20"/>
        </w:rPr>
        <w:t>condition</w:t>
      </w:r>
      <w:r w:rsidRPr="001D2BF2">
        <w:rPr>
          <w:color w:val="231F20"/>
        </w:rPr>
        <w:t xml:space="preserve"> </w:t>
      </w:r>
      <w:r>
        <w:rPr>
          <w:color w:val="231F20"/>
        </w:rPr>
        <w:t>within</w:t>
      </w:r>
      <w:r w:rsidRPr="001D2BF2">
        <w:rPr>
          <w:color w:val="231F20"/>
        </w:rPr>
        <w:t xml:space="preserve"> </w:t>
      </w:r>
      <w:r>
        <w:rPr>
          <w:color w:val="231F20"/>
        </w:rPr>
        <w:t>one</w:t>
      </w:r>
      <w:r w:rsidRPr="001D2BF2">
        <w:rPr>
          <w:color w:val="231F20"/>
        </w:rPr>
        <w:t xml:space="preserve"> </w:t>
      </w:r>
      <w:r>
        <w:rPr>
          <w:color w:val="231F20"/>
        </w:rPr>
        <w:t>year</w:t>
      </w:r>
      <w:r w:rsidRPr="001D2BF2">
        <w:rPr>
          <w:color w:val="231F20"/>
        </w:rPr>
        <w:t xml:space="preserve"> </w:t>
      </w:r>
      <w:r>
        <w:rPr>
          <w:color w:val="231F20"/>
        </w:rPr>
        <w:t>of the date of the alleged omission in this case. Thus, he met the requirement of an active clinical practice requirement and was properly</w:t>
      </w:r>
      <w:r w:rsidRPr="001D2BF2">
        <w:rPr>
          <w:color w:val="231F20"/>
        </w:rPr>
        <w:t xml:space="preserve"> </w:t>
      </w:r>
      <w:r>
        <w:rPr>
          <w:color w:val="231F20"/>
        </w:rPr>
        <w:t>qualified.</w:t>
      </w:r>
    </w:p>
    <w:p w14:paraId="3F5B5D2E" w14:textId="77777777" w:rsidR="009910CD" w:rsidRDefault="00FC2690" w:rsidP="00476EC5">
      <w:pPr>
        <w:pStyle w:val="Heading4"/>
        <w:tabs>
          <w:tab w:val="left" w:pos="720"/>
        </w:tabs>
        <w:spacing w:before="0" w:line="241" w:lineRule="exact"/>
        <w:ind w:left="0"/>
        <w:rPr>
          <w:b w:val="0"/>
          <w:sz w:val="25"/>
        </w:rPr>
      </w:pPr>
      <w:r>
        <w:rPr>
          <w:color w:val="231F20"/>
        </w:rPr>
        <w:t>§</w:t>
      </w:r>
      <w:r w:rsidRPr="00ED1338">
        <w:rPr>
          <w:color w:val="231F20"/>
        </w:rPr>
        <w:t xml:space="preserve"> </w:t>
      </w:r>
      <w:r>
        <w:rPr>
          <w:color w:val="231F20"/>
        </w:rPr>
        <w:t>17.33</w:t>
      </w:r>
      <w:r>
        <w:rPr>
          <w:color w:val="231F20"/>
        </w:rPr>
        <w:tab/>
        <w:t>Hearsay</w:t>
      </w:r>
    </w:p>
    <w:p w14:paraId="2F1275F1" w14:textId="232363CD" w:rsidR="009910CD" w:rsidRDefault="00FC2690" w:rsidP="00AF062B">
      <w:pPr>
        <w:pStyle w:val="Heading4"/>
        <w:tabs>
          <w:tab w:val="left" w:pos="2041"/>
        </w:tabs>
        <w:spacing w:before="64"/>
        <w:ind w:left="1170" w:hanging="450"/>
      </w:pPr>
      <w:r>
        <w:rPr>
          <w:color w:val="231F20"/>
        </w:rPr>
        <w:t>[3]</w:t>
      </w:r>
      <w:r>
        <w:rPr>
          <w:color w:val="231F20"/>
        </w:rPr>
        <w:tab/>
        <w:t>Miscellaneous</w:t>
      </w:r>
    </w:p>
    <w:p w14:paraId="72437C49" w14:textId="77777777" w:rsidR="009910CD" w:rsidRDefault="00FC2690" w:rsidP="009C32E1">
      <w:pPr>
        <w:spacing w:before="136"/>
        <w:ind w:left="720"/>
      </w:pPr>
      <w:r>
        <w:rPr>
          <w:color w:val="231F20"/>
        </w:rPr>
        <w:t>2011—</w:t>
      </w:r>
      <w:r>
        <w:rPr>
          <w:i/>
          <w:color w:val="231F20"/>
        </w:rPr>
        <w:t xml:space="preserve">Ruhlin </w:t>
      </w:r>
      <w:r>
        <w:rPr>
          <w:i/>
          <w:color w:val="231F20"/>
          <w:spacing w:val="-9"/>
        </w:rPr>
        <w:t>v.</w:t>
      </w:r>
      <w:r w:rsidR="00B64C57">
        <w:rPr>
          <w:i/>
          <w:color w:val="231F20"/>
          <w:spacing w:val="-9"/>
        </w:rPr>
        <w:t xml:space="preserve"> </w:t>
      </w:r>
      <w:r>
        <w:rPr>
          <w:i/>
          <w:color w:val="231F20"/>
        </w:rPr>
        <w:t>Samaan</w:t>
      </w:r>
      <w:r>
        <w:rPr>
          <w:color w:val="231F20"/>
        </w:rPr>
        <w:t xml:space="preserve">, 282 </w:t>
      </w:r>
      <w:r>
        <w:rPr>
          <w:color w:val="231F20"/>
          <w:spacing w:val="-9"/>
        </w:rPr>
        <w:t>Va.</w:t>
      </w:r>
      <w:r w:rsidR="00B64C57">
        <w:rPr>
          <w:color w:val="231F20"/>
          <w:spacing w:val="-9"/>
        </w:rPr>
        <w:t xml:space="preserve"> </w:t>
      </w:r>
      <w:r>
        <w:rPr>
          <w:color w:val="231F20"/>
        </w:rPr>
        <w:t>371, 718 S.E.2d</w:t>
      </w:r>
      <w:r>
        <w:rPr>
          <w:color w:val="231F20"/>
          <w:spacing w:val="50"/>
        </w:rPr>
        <w:t xml:space="preserve"> </w:t>
      </w:r>
      <w:r>
        <w:rPr>
          <w:color w:val="231F20"/>
        </w:rPr>
        <w:t>447.</w:t>
      </w:r>
    </w:p>
    <w:p w14:paraId="2203DF47" w14:textId="77777777" w:rsidR="009910CD" w:rsidRPr="0005437D" w:rsidRDefault="00FC2690" w:rsidP="0005437D">
      <w:pPr>
        <w:pStyle w:val="BodyText"/>
        <w:spacing w:before="120" w:after="120"/>
        <w:ind w:left="1440"/>
        <w:jc w:val="both"/>
        <w:rPr>
          <w:color w:val="231F20"/>
        </w:rPr>
      </w:pPr>
      <w:r>
        <w:rPr>
          <w:color w:val="231F20"/>
        </w:rPr>
        <w:t>Prior consistent statements made by plaintiff to his wife were not admissible since they are</w:t>
      </w:r>
      <w:r w:rsidRPr="0005437D">
        <w:rPr>
          <w:color w:val="231F20"/>
        </w:rPr>
        <w:t xml:space="preserve"> </w:t>
      </w:r>
      <w:r>
        <w:rPr>
          <w:color w:val="231F20"/>
        </w:rPr>
        <w:t>hearsay.</w:t>
      </w:r>
    </w:p>
    <w:p w14:paraId="099969DC"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17.48</w:t>
      </w:r>
      <w:r>
        <w:rPr>
          <w:color w:val="231F20"/>
        </w:rPr>
        <w:tab/>
        <w:t>Opinions—Lay</w:t>
      </w:r>
    </w:p>
    <w:p w14:paraId="5D7EBFD6" w14:textId="77777777" w:rsidR="009910CD" w:rsidRDefault="00FC2690" w:rsidP="009C32E1">
      <w:pPr>
        <w:spacing w:before="149" w:line="240" w:lineRule="exact"/>
        <w:ind w:left="720" w:right="821"/>
      </w:pPr>
      <w:r>
        <w:rPr>
          <w:color w:val="231F20"/>
        </w:rPr>
        <w:t>201</w:t>
      </w:r>
      <w:r w:rsidR="00BB52DF">
        <w:rPr>
          <w:color w:val="231F20"/>
        </w:rPr>
        <w:t>8</w:t>
      </w:r>
      <w:r>
        <w:rPr>
          <w:color w:val="231F20"/>
        </w:rPr>
        <w:t>—</w:t>
      </w:r>
      <w:r w:rsidR="00BB52DF">
        <w:rPr>
          <w:i/>
          <w:color w:val="231F20"/>
        </w:rPr>
        <w:t>Martin</w:t>
      </w:r>
      <w:r>
        <w:rPr>
          <w:i/>
          <w:color w:val="231F20"/>
        </w:rPr>
        <w:t xml:space="preserve"> v. </w:t>
      </w:r>
      <w:r w:rsidR="00BB52DF">
        <w:rPr>
          <w:i/>
          <w:color w:val="231F20"/>
        </w:rPr>
        <w:t>Lahti</w:t>
      </w:r>
      <w:r>
        <w:rPr>
          <w:color w:val="231F20"/>
        </w:rPr>
        <w:t xml:space="preserve">, </w:t>
      </w:r>
      <w:r w:rsidR="00BB52DF">
        <w:rPr>
          <w:color w:val="231F20"/>
        </w:rPr>
        <w:t>295</w:t>
      </w:r>
      <w:r>
        <w:rPr>
          <w:color w:val="231F20"/>
        </w:rPr>
        <w:t xml:space="preserve"> Va. </w:t>
      </w:r>
      <w:r w:rsidR="00BB52DF">
        <w:rPr>
          <w:color w:val="231F20"/>
        </w:rPr>
        <w:t>77</w:t>
      </w:r>
      <w:r>
        <w:rPr>
          <w:color w:val="231F20"/>
        </w:rPr>
        <w:t xml:space="preserve">, </w:t>
      </w:r>
      <w:r w:rsidR="00BB52DF">
        <w:rPr>
          <w:color w:val="231F20"/>
        </w:rPr>
        <w:t>809</w:t>
      </w:r>
      <w:r>
        <w:rPr>
          <w:color w:val="231F20"/>
        </w:rPr>
        <w:t xml:space="preserve"> S.E.2d </w:t>
      </w:r>
      <w:r w:rsidR="00BB52DF">
        <w:rPr>
          <w:color w:val="231F20"/>
        </w:rPr>
        <w:t>644</w:t>
      </w:r>
      <w:r>
        <w:rPr>
          <w:color w:val="231F20"/>
        </w:rPr>
        <w:t>.</w:t>
      </w:r>
    </w:p>
    <w:p w14:paraId="6292674E" w14:textId="77777777" w:rsidR="009910CD" w:rsidRDefault="00BB52DF" w:rsidP="0005437D">
      <w:pPr>
        <w:pStyle w:val="BodyText"/>
        <w:spacing w:before="120" w:after="120"/>
        <w:ind w:left="1440"/>
        <w:jc w:val="both"/>
        <w:rPr>
          <w:color w:val="231F20"/>
        </w:rPr>
      </w:pPr>
      <w:r>
        <w:rPr>
          <w:color w:val="231F20"/>
        </w:rPr>
        <w:t xml:space="preserve">In this medical malpractice action Circuit court did not abuse discretion in excluding lay opinions by deceased patient’s sister and daughter that patient would not have agreed to procedure if she had been properly advised of the risks and the alternatives.  </w:t>
      </w:r>
    </w:p>
    <w:p w14:paraId="25921120" w14:textId="77777777" w:rsidR="00BB52DF" w:rsidRDefault="00BB52DF" w:rsidP="009C32E1">
      <w:pPr>
        <w:spacing w:before="149" w:line="240" w:lineRule="exact"/>
        <w:ind w:left="720" w:right="821"/>
      </w:pPr>
      <w:r>
        <w:rPr>
          <w:color w:val="231F20"/>
        </w:rPr>
        <w:t>2014—</w:t>
      </w:r>
      <w:r>
        <w:rPr>
          <w:i/>
          <w:color w:val="231F20"/>
        </w:rPr>
        <w:t>Harman v. Honeywell International, Inc.</w:t>
      </w:r>
      <w:r>
        <w:rPr>
          <w:color w:val="231F20"/>
        </w:rPr>
        <w:t>, 288 Va. 84, 758 S.E.2d 515.</w:t>
      </w:r>
    </w:p>
    <w:p w14:paraId="6FA7C0C7" w14:textId="77777777" w:rsidR="00BB52DF" w:rsidRPr="0005437D" w:rsidRDefault="00BB52DF" w:rsidP="0005437D">
      <w:pPr>
        <w:pStyle w:val="BodyText"/>
        <w:spacing w:before="120" w:after="120"/>
        <w:ind w:left="1440"/>
        <w:jc w:val="both"/>
        <w:rPr>
          <w:color w:val="231F20"/>
        </w:rPr>
      </w:pPr>
      <w:r>
        <w:rPr>
          <w:color w:val="231F20"/>
        </w:rPr>
        <w:t>Admissibility of lay opinion testimony is governed by Rule 2:701, which says it is admissible if based upon personal experience or observations and will aid the trier of fact in understanding the witness’ perceptions. In this case, witness expressed opinion as to whether or not decedent exercised good judgment in flying his plane. That was not admissible. Another witness expressed opinion relating to personal experiences on flying two (2) different planes. The witness compared them. Thi</w:t>
      </w:r>
      <w:r w:rsidR="00AB18B1">
        <w:rPr>
          <w:color w:val="231F20"/>
        </w:rPr>
        <w:t>s testimony was properly admis</w:t>
      </w:r>
      <w:r>
        <w:rPr>
          <w:color w:val="231F20"/>
        </w:rPr>
        <w:t>sible.</w:t>
      </w:r>
    </w:p>
    <w:p w14:paraId="119B8F6D"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17.53</w:t>
      </w:r>
      <w:r>
        <w:rPr>
          <w:color w:val="231F20"/>
        </w:rPr>
        <w:tab/>
        <w:t>Privilege</w:t>
      </w:r>
    </w:p>
    <w:p w14:paraId="17DA0943" w14:textId="028F4F6B" w:rsidR="00CF7628" w:rsidRDefault="00CF7628" w:rsidP="00CF7628">
      <w:pPr>
        <w:pStyle w:val="BodyText"/>
        <w:spacing w:before="120" w:after="120"/>
        <w:ind w:left="1440"/>
        <w:jc w:val="both"/>
        <w:rPr>
          <w:color w:val="231F20"/>
        </w:rPr>
      </w:pPr>
      <w:r w:rsidRPr="002046B8">
        <w:rPr>
          <w:i/>
          <w:iCs/>
          <w:color w:val="231F20"/>
        </w:rPr>
        <w:t>See</w:t>
      </w:r>
      <w:r w:rsidRPr="0005437D">
        <w:rPr>
          <w:color w:val="231F20"/>
        </w:rPr>
        <w:t xml:space="preserve"> </w:t>
      </w:r>
      <w:r w:rsidR="002F24E0">
        <w:rPr>
          <w:color w:val="231F20"/>
        </w:rPr>
        <w:t>Va.</w:t>
      </w:r>
      <w:r w:rsidRPr="0005437D">
        <w:rPr>
          <w:color w:val="231F20"/>
        </w:rPr>
        <w:t xml:space="preserve"> Code</w:t>
      </w:r>
      <w:r>
        <w:rPr>
          <w:color w:val="231F20"/>
        </w:rPr>
        <w:t xml:space="preserve"> </w:t>
      </w:r>
      <w:r w:rsidR="00D05B49">
        <w:rPr>
          <w:color w:val="231F20"/>
        </w:rPr>
        <w:t xml:space="preserve">§ </w:t>
      </w:r>
      <w:r>
        <w:rPr>
          <w:color w:val="231F20"/>
        </w:rPr>
        <w:t>8.01-420.7 for limitation on waiver as to attorney/client privilege and Work Product Doctrine.</w:t>
      </w:r>
    </w:p>
    <w:p w14:paraId="2D857DDC" w14:textId="77777777" w:rsidR="000E25FE" w:rsidRDefault="000E25FE">
      <w:pPr>
        <w:rPr>
          <w:color w:val="231F20"/>
        </w:rPr>
      </w:pPr>
      <w:r>
        <w:rPr>
          <w:color w:val="231F20"/>
        </w:rPr>
        <w:br w:type="page"/>
      </w:r>
    </w:p>
    <w:p w14:paraId="22A21FD1" w14:textId="71ADA450" w:rsidR="009910CD" w:rsidRDefault="00FC2690" w:rsidP="009C32E1">
      <w:pPr>
        <w:spacing w:before="139" w:line="240" w:lineRule="exact"/>
        <w:ind w:left="720" w:right="821"/>
      </w:pPr>
      <w:r>
        <w:rPr>
          <w:color w:val="231F20"/>
        </w:rPr>
        <w:lastRenderedPageBreak/>
        <w:t>2010—</w:t>
      </w:r>
      <w:r>
        <w:rPr>
          <w:i/>
          <w:color w:val="231F20"/>
        </w:rPr>
        <w:t>Walton v. Mid-Atlantic Spine Specialists</w:t>
      </w:r>
      <w:r>
        <w:rPr>
          <w:color w:val="231F20"/>
        </w:rPr>
        <w:t>, 280 Va. 113, 694 S.E.2d 545.</w:t>
      </w:r>
    </w:p>
    <w:p w14:paraId="40AB4B8C" w14:textId="77777777" w:rsidR="009910CD" w:rsidRPr="0005437D" w:rsidRDefault="00FC2690" w:rsidP="0005437D">
      <w:pPr>
        <w:pStyle w:val="BodyText"/>
        <w:spacing w:before="120" w:after="120"/>
        <w:ind w:left="1440"/>
        <w:jc w:val="both"/>
        <w:rPr>
          <w:color w:val="231F20"/>
        </w:rPr>
      </w:pPr>
      <w:r>
        <w:rPr>
          <w:color w:val="231F20"/>
        </w:rPr>
        <w:t>Inadvertent production of letter written by defendant doctor to attorney waived privilege where inadequate measures had been taken to insure and maintain confidentiality of the</w:t>
      </w:r>
      <w:r w:rsidR="00B64C57">
        <w:rPr>
          <w:color w:val="231F20"/>
        </w:rPr>
        <w:t xml:space="preserve"> </w:t>
      </w:r>
      <w:r>
        <w:rPr>
          <w:color w:val="231F20"/>
        </w:rPr>
        <w:t>letter.</w:t>
      </w:r>
    </w:p>
    <w:p w14:paraId="067E23A9" w14:textId="71E8CF24"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17.56</w:t>
      </w:r>
      <w:r>
        <w:rPr>
          <w:color w:val="231F20"/>
        </w:rPr>
        <w:tab/>
        <w:t>Records</w:t>
      </w:r>
    </w:p>
    <w:p w14:paraId="302AD027" w14:textId="77777777" w:rsidR="009910CD" w:rsidRDefault="00FC2690" w:rsidP="00AF062B">
      <w:pPr>
        <w:tabs>
          <w:tab w:val="left" w:pos="2041"/>
        </w:tabs>
        <w:spacing w:before="85"/>
        <w:ind w:left="1170" w:hanging="450"/>
        <w:rPr>
          <w:b/>
        </w:rPr>
      </w:pPr>
      <w:r>
        <w:rPr>
          <w:b/>
          <w:color w:val="231F20"/>
        </w:rPr>
        <w:t>[2]</w:t>
      </w:r>
      <w:r>
        <w:rPr>
          <w:b/>
          <w:color w:val="231F20"/>
        </w:rPr>
        <w:tab/>
        <w:t>Medical</w:t>
      </w:r>
      <w:r>
        <w:rPr>
          <w:b/>
          <w:color w:val="231F20"/>
          <w:spacing w:val="14"/>
        </w:rPr>
        <w:t xml:space="preserve"> </w:t>
      </w:r>
      <w:r>
        <w:rPr>
          <w:b/>
          <w:color w:val="231F20"/>
        </w:rPr>
        <w:t>Records</w:t>
      </w:r>
    </w:p>
    <w:p w14:paraId="6D74ECE4" w14:textId="270ED585" w:rsidR="004001A7" w:rsidRDefault="004001A7" w:rsidP="004001A7">
      <w:pPr>
        <w:spacing w:before="125"/>
        <w:ind w:left="720"/>
      </w:pPr>
      <w:r>
        <w:rPr>
          <w:color w:val="231F20"/>
        </w:rPr>
        <w:t>2019—</w:t>
      </w:r>
      <w:r>
        <w:rPr>
          <w:i/>
          <w:color w:val="231F20"/>
        </w:rPr>
        <w:t>Spruill v. Garcia</w:t>
      </w:r>
      <w:r>
        <w:rPr>
          <w:color w:val="231F20"/>
        </w:rPr>
        <w:t>, 298 Va. 120, 834 S.E.2d 270.</w:t>
      </w:r>
    </w:p>
    <w:p w14:paraId="39B0DCB1" w14:textId="604B3CDC" w:rsidR="004001A7" w:rsidRDefault="004001A7" w:rsidP="004001A7">
      <w:pPr>
        <w:pStyle w:val="BodyText"/>
        <w:spacing w:before="120" w:after="120"/>
        <w:ind w:left="1440"/>
        <w:jc w:val="both"/>
        <w:rPr>
          <w:color w:val="231F20"/>
        </w:rPr>
      </w:pPr>
      <w:r>
        <w:rPr>
          <w:color w:val="231F20"/>
        </w:rPr>
        <w:t xml:space="preserve">Medical records were admitted without proper </w:t>
      </w:r>
      <w:proofErr w:type="gramStart"/>
      <w:r>
        <w:rPr>
          <w:color w:val="231F20"/>
        </w:rPr>
        <w:t>authentication</w:t>
      </w:r>
      <w:proofErr w:type="gramEnd"/>
      <w:r>
        <w:rPr>
          <w:color w:val="231F20"/>
        </w:rPr>
        <w:t xml:space="preserve"> which were hearsay.  Supreme Court concluded that the error was harmless.  The harmless error analysis essentially means that as long as the parties have had a fair trial on the merits and substantial justice has been reached then absent an issue dealing with subject matter jurisdiction or of constitutional import, the error will be deemed to be harmless.</w:t>
      </w:r>
    </w:p>
    <w:p w14:paraId="75804620" w14:textId="77777777" w:rsidR="009910CD" w:rsidRDefault="00FC2690" w:rsidP="00770535">
      <w:pPr>
        <w:spacing w:before="125"/>
        <w:ind w:left="720"/>
      </w:pPr>
      <w:r>
        <w:rPr>
          <w:color w:val="231F20"/>
        </w:rPr>
        <w:t>2012—</w:t>
      </w:r>
      <w:r>
        <w:rPr>
          <w:i/>
          <w:color w:val="231F20"/>
        </w:rPr>
        <w:t>Arnold v.</w:t>
      </w:r>
      <w:r w:rsidR="00B64C57">
        <w:rPr>
          <w:i/>
          <w:color w:val="231F20"/>
        </w:rPr>
        <w:t xml:space="preserve"> </w:t>
      </w:r>
      <w:r>
        <w:rPr>
          <w:i/>
          <w:color w:val="231F20"/>
        </w:rPr>
        <w:t>Wallace</w:t>
      </w:r>
      <w:r>
        <w:rPr>
          <w:color w:val="231F20"/>
        </w:rPr>
        <w:t>, 283 Va.</w:t>
      </w:r>
      <w:r w:rsidR="00B64C57">
        <w:rPr>
          <w:color w:val="231F20"/>
        </w:rPr>
        <w:t xml:space="preserve"> </w:t>
      </w:r>
      <w:r>
        <w:rPr>
          <w:color w:val="231F20"/>
        </w:rPr>
        <w:t>709, 725 S.E.2d</w:t>
      </w:r>
      <w:r w:rsidR="00B64C57">
        <w:rPr>
          <w:color w:val="231F20"/>
        </w:rPr>
        <w:t xml:space="preserve"> </w:t>
      </w:r>
      <w:r>
        <w:rPr>
          <w:color w:val="231F20"/>
        </w:rPr>
        <w:t>539.</w:t>
      </w:r>
    </w:p>
    <w:p w14:paraId="550F3149" w14:textId="77777777" w:rsidR="009910CD" w:rsidRDefault="00FC2690" w:rsidP="0005437D">
      <w:pPr>
        <w:pStyle w:val="BodyText"/>
        <w:spacing w:before="120" w:after="120"/>
        <w:ind w:left="1440"/>
        <w:jc w:val="both"/>
        <w:rPr>
          <w:color w:val="231F20"/>
        </w:rPr>
      </w:pPr>
      <w:r>
        <w:rPr>
          <w:color w:val="231F20"/>
        </w:rPr>
        <w:t xml:space="preserve">In this personal injury action, a sufficient foundation was laid for admission of patient medical chart through testimony of doctor in that practice group that treated her </w:t>
      </w:r>
      <w:r w:rsidR="00AB18B1">
        <w:rPr>
          <w:color w:val="231F20"/>
        </w:rPr>
        <w:t>explaining the regular prepara</w:t>
      </w:r>
      <w:r>
        <w:rPr>
          <w:color w:val="231F20"/>
        </w:rPr>
        <w:t>tion of the record and reliance upon it in treating the plaintiff. Objecting party should have noted objection to presence of</w:t>
      </w:r>
      <w:r w:rsidRPr="0005437D">
        <w:rPr>
          <w:color w:val="231F20"/>
        </w:rPr>
        <w:t xml:space="preserve"> </w:t>
      </w:r>
      <w:r>
        <w:rPr>
          <w:color w:val="231F20"/>
        </w:rPr>
        <w:t>opinions in the</w:t>
      </w:r>
      <w:r w:rsidRPr="0005437D">
        <w:rPr>
          <w:color w:val="231F20"/>
        </w:rPr>
        <w:t xml:space="preserve"> </w:t>
      </w:r>
      <w:r>
        <w:rPr>
          <w:color w:val="231F20"/>
        </w:rPr>
        <w:t>records.</w:t>
      </w:r>
    </w:p>
    <w:p w14:paraId="74ADAF83" w14:textId="1FB86C51" w:rsidR="009910CD" w:rsidRPr="00AF062B" w:rsidRDefault="00FC2690" w:rsidP="00AF062B">
      <w:pPr>
        <w:tabs>
          <w:tab w:val="left" w:pos="2041"/>
        </w:tabs>
        <w:spacing w:before="85"/>
        <w:ind w:left="1170" w:hanging="450"/>
        <w:rPr>
          <w:color w:val="231F20"/>
        </w:rPr>
      </w:pPr>
      <w:r w:rsidRPr="00AF062B">
        <w:rPr>
          <w:b/>
          <w:color w:val="231F20"/>
        </w:rPr>
        <w:t>[4]</w:t>
      </w:r>
      <w:r w:rsidRPr="00AF062B">
        <w:rPr>
          <w:b/>
          <w:color w:val="231F20"/>
        </w:rPr>
        <w:tab/>
        <w:t>Miscellaneous</w:t>
      </w:r>
    </w:p>
    <w:p w14:paraId="463338EA" w14:textId="77777777" w:rsidR="009910CD" w:rsidRDefault="00FC2690">
      <w:pPr>
        <w:pStyle w:val="BodyText"/>
        <w:spacing w:before="86"/>
        <w:ind w:left="1326"/>
      </w:pPr>
      <w:r>
        <w:rPr>
          <w:i/>
          <w:color w:val="231F20"/>
        </w:rPr>
        <w:t xml:space="preserve">See </w:t>
      </w:r>
      <w:r>
        <w:rPr>
          <w:color w:val="231F20"/>
        </w:rPr>
        <w:t>Va.</w:t>
      </w:r>
      <w:r w:rsidR="00B64C57">
        <w:rPr>
          <w:color w:val="231F20"/>
        </w:rPr>
        <w:t xml:space="preserve"> </w:t>
      </w:r>
      <w:r>
        <w:rPr>
          <w:color w:val="231F20"/>
        </w:rPr>
        <w:t>Code § 8.01-390.1 as to school</w:t>
      </w:r>
      <w:r w:rsidR="00B64C57">
        <w:rPr>
          <w:color w:val="231F20"/>
        </w:rPr>
        <w:t xml:space="preserve"> </w:t>
      </w:r>
      <w:r>
        <w:rPr>
          <w:color w:val="231F20"/>
        </w:rPr>
        <w:t>records.</w:t>
      </w:r>
    </w:p>
    <w:p w14:paraId="361B3A75"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17.57</w:t>
      </w:r>
      <w:r>
        <w:rPr>
          <w:color w:val="231F20"/>
        </w:rPr>
        <w:tab/>
        <w:t>Relevancy</w:t>
      </w:r>
    </w:p>
    <w:p w14:paraId="4D9E5EFD" w14:textId="77777777" w:rsidR="00752BB4" w:rsidRDefault="00752BB4" w:rsidP="00770535">
      <w:pPr>
        <w:spacing w:before="126"/>
        <w:ind w:left="720"/>
      </w:pPr>
      <w:r>
        <w:rPr>
          <w:color w:val="231F20"/>
        </w:rPr>
        <w:t>2017—</w:t>
      </w:r>
      <w:r>
        <w:rPr>
          <w:i/>
          <w:color w:val="231F20"/>
        </w:rPr>
        <w:t xml:space="preserve">Gilliam v. Immel, </w:t>
      </w:r>
      <w:r>
        <w:rPr>
          <w:color w:val="231F20"/>
        </w:rPr>
        <w:t>293 Va. 18, 795 S.E.2d 458.</w:t>
      </w:r>
    </w:p>
    <w:p w14:paraId="4FAEEA7F" w14:textId="77777777" w:rsidR="00752BB4" w:rsidRDefault="00752BB4" w:rsidP="0005437D">
      <w:pPr>
        <w:pStyle w:val="BodyText"/>
        <w:spacing w:before="120" w:after="120"/>
        <w:ind w:left="1440"/>
        <w:jc w:val="both"/>
        <w:rPr>
          <w:color w:val="231F20"/>
        </w:rPr>
      </w:pPr>
      <w:r>
        <w:rPr>
          <w:color w:val="231F20"/>
        </w:rPr>
        <w:t>Defendant reportedly called plaintiff a black bitch after the collision.  Plaintiff sought to admit evidence based upon it having caused mental anguish.  In this negligence action there was no allegation that the comment caused any damages flowing from the defendant’s negligence and as such it was irrelevant.</w:t>
      </w:r>
    </w:p>
    <w:p w14:paraId="0466FB22" w14:textId="77777777" w:rsidR="009910CD" w:rsidRDefault="00FC2690" w:rsidP="00770535">
      <w:pPr>
        <w:spacing w:before="126"/>
        <w:ind w:left="720"/>
      </w:pPr>
      <w:r>
        <w:rPr>
          <w:color w:val="231F20"/>
        </w:rPr>
        <w:t>2015—</w:t>
      </w:r>
      <w:r>
        <w:rPr>
          <w:i/>
          <w:color w:val="231F20"/>
        </w:rPr>
        <w:t>Cain v.</w:t>
      </w:r>
      <w:r w:rsidR="00B64C57">
        <w:rPr>
          <w:i/>
          <w:color w:val="231F20"/>
        </w:rPr>
        <w:t xml:space="preserve"> </w:t>
      </w:r>
      <w:r>
        <w:rPr>
          <w:i/>
          <w:color w:val="231F20"/>
        </w:rPr>
        <w:t xml:space="preserve">Lee, </w:t>
      </w:r>
      <w:r>
        <w:rPr>
          <w:color w:val="231F20"/>
        </w:rPr>
        <w:t>290 Va.</w:t>
      </w:r>
      <w:r w:rsidR="00B64C57">
        <w:rPr>
          <w:color w:val="231F20"/>
        </w:rPr>
        <w:t xml:space="preserve"> </w:t>
      </w:r>
      <w:r>
        <w:rPr>
          <w:color w:val="231F20"/>
        </w:rPr>
        <w:t>129, 772 S.E.2d</w:t>
      </w:r>
      <w:r w:rsidR="00B64C57">
        <w:rPr>
          <w:color w:val="231F20"/>
        </w:rPr>
        <w:t xml:space="preserve"> </w:t>
      </w:r>
      <w:r>
        <w:rPr>
          <w:color w:val="231F20"/>
        </w:rPr>
        <w:t>894.</w:t>
      </w:r>
    </w:p>
    <w:p w14:paraId="7DBCF787" w14:textId="77777777" w:rsidR="009910CD" w:rsidRPr="0005437D" w:rsidRDefault="00FC2690" w:rsidP="0005437D">
      <w:pPr>
        <w:pStyle w:val="BodyText"/>
        <w:spacing w:before="120" w:after="120"/>
        <w:ind w:left="1440"/>
        <w:jc w:val="both"/>
        <w:rPr>
          <w:color w:val="231F20"/>
        </w:rPr>
      </w:pPr>
      <w:r>
        <w:rPr>
          <w:color w:val="231F20"/>
        </w:rPr>
        <w:t>In this auto accident case defendant admitted liability. Defendant’s post-accident behavior was therefore</w:t>
      </w:r>
      <w:r w:rsidR="00B64C57">
        <w:rPr>
          <w:color w:val="231F20"/>
        </w:rPr>
        <w:t xml:space="preserve"> </w:t>
      </w:r>
      <w:r>
        <w:rPr>
          <w:color w:val="231F20"/>
        </w:rPr>
        <w:t>irrelevant.</w:t>
      </w:r>
    </w:p>
    <w:p w14:paraId="5570EE60" w14:textId="77777777" w:rsidR="00A134E7" w:rsidRPr="00ED1338" w:rsidRDefault="00A134E7"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17.61</w:t>
      </w:r>
      <w:r>
        <w:rPr>
          <w:color w:val="231F20"/>
        </w:rPr>
        <w:tab/>
        <w:t>Spoliation of Evidence</w:t>
      </w:r>
    </w:p>
    <w:p w14:paraId="4D40D116" w14:textId="170C571C" w:rsidR="000C0785" w:rsidRPr="000C0785" w:rsidRDefault="000C0785" w:rsidP="00AF062B">
      <w:pPr>
        <w:spacing w:before="126"/>
        <w:ind w:left="1440"/>
        <w:rPr>
          <w:color w:val="231F20"/>
        </w:rPr>
      </w:pPr>
      <w:r>
        <w:rPr>
          <w:i/>
          <w:iCs/>
          <w:color w:val="231F20"/>
        </w:rPr>
        <w:t>See</w:t>
      </w:r>
      <w:r>
        <w:rPr>
          <w:color w:val="231F20"/>
        </w:rPr>
        <w:t xml:space="preserve"> </w:t>
      </w:r>
      <w:r w:rsidR="002F24E0">
        <w:rPr>
          <w:color w:val="231F20"/>
        </w:rPr>
        <w:t>Va.</w:t>
      </w:r>
      <w:r>
        <w:rPr>
          <w:color w:val="231F20"/>
        </w:rPr>
        <w:t xml:space="preserve"> Code § 8.01-379.2:1 dealing with spoliation.  </w:t>
      </w:r>
    </w:p>
    <w:p w14:paraId="6875CE49" w14:textId="155A88DA" w:rsidR="00A134E7" w:rsidRDefault="00A134E7" w:rsidP="00770535">
      <w:pPr>
        <w:spacing w:before="126"/>
        <w:ind w:left="720"/>
      </w:pPr>
      <w:r>
        <w:rPr>
          <w:color w:val="231F20"/>
        </w:rPr>
        <w:t>2017—</w:t>
      </w:r>
      <w:r>
        <w:rPr>
          <w:i/>
          <w:color w:val="231F20"/>
        </w:rPr>
        <w:t>Emerald Point</w:t>
      </w:r>
      <w:r w:rsidR="001D1B19">
        <w:rPr>
          <w:i/>
          <w:color w:val="231F20"/>
        </w:rPr>
        <w:t>, LLC</w:t>
      </w:r>
      <w:r>
        <w:rPr>
          <w:i/>
          <w:color w:val="231F20"/>
        </w:rPr>
        <w:t xml:space="preserve"> v. </w:t>
      </w:r>
      <w:r w:rsidR="001D1B19">
        <w:rPr>
          <w:i/>
          <w:color w:val="231F20"/>
        </w:rPr>
        <w:t xml:space="preserve">Lindsey </w:t>
      </w:r>
      <w:r>
        <w:rPr>
          <w:i/>
          <w:color w:val="231F20"/>
        </w:rPr>
        <w:t xml:space="preserve">Hawkins, </w:t>
      </w:r>
      <w:r>
        <w:rPr>
          <w:color w:val="231F20"/>
        </w:rPr>
        <w:t>294 Va. 544, 808 S.E.2d 384.</w:t>
      </w:r>
    </w:p>
    <w:p w14:paraId="0A77B890" w14:textId="77777777" w:rsidR="00A134E7" w:rsidRDefault="00A134E7" w:rsidP="0005437D">
      <w:pPr>
        <w:pStyle w:val="BodyText"/>
        <w:spacing w:before="120" w:after="120"/>
        <w:ind w:left="1440"/>
        <w:jc w:val="both"/>
        <w:rPr>
          <w:color w:val="231F20"/>
        </w:rPr>
      </w:pPr>
      <w:r>
        <w:rPr>
          <w:color w:val="231F20"/>
        </w:rPr>
        <w:t xml:space="preserve">Adverse inference instruction for spoliation of evidence </w:t>
      </w:r>
      <w:r w:rsidR="001D1B19">
        <w:rPr>
          <w:color w:val="231F20"/>
        </w:rPr>
        <w:t>is proper only where parties acted in bad faith or with intentional conduct calculated to suppress the truth.  That was not shown in this case.</w:t>
      </w:r>
    </w:p>
    <w:p w14:paraId="2DF03153"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17.63</w:t>
      </w:r>
      <w:r>
        <w:rPr>
          <w:color w:val="231F20"/>
        </w:rPr>
        <w:tab/>
        <w:t>Witnesses</w:t>
      </w:r>
    </w:p>
    <w:p w14:paraId="3A159221" w14:textId="3C0A60AD" w:rsidR="00085A43" w:rsidRDefault="00085A43" w:rsidP="00085A43">
      <w:pPr>
        <w:tabs>
          <w:tab w:val="left" w:pos="2041"/>
        </w:tabs>
        <w:spacing w:before="85"/>
        <w:ind w:left="1170" w:hanging="450"/>
        <w:rPr>
          <w:b/>
          <w:color w:val="231F20"/>
        </w:rPr>
      </w:pPr>
      <w:r>
        <w:rPr>
          <w:b/>
          <w:color w:val="231F20"/>
        </w:rPr>
        <w:t>[1]</w:t>
      </w:r>
      <w:r>
        <w:rPr>
          <w:b/>
          <w:color w:val="231F20"/>
        </w:rPr>
        <w:tab/>
        <w:t>Adverse</w:t>
      </w:r>
    </w:p>
    <w:p w14:paraId="57031837" w14:textId="1EE78E57" w:rsidR="00085A43" w:rsidRDefault="00085A43" w:rsidP="00085A43">
      <w:pPr>
        <w:spacing w:before="135"/>
        <w:ind w:left="720"/>
      </w:pPr>
      <w:r>
        <w:rPr>
          <w:color w:val="231F20"/>
        </w:rPr>
        <w:t>2023—</w:t>
      </w:r>
      <w:r>
        <w:rPr>
          <w:i/>
          <w:color w:val="231F20"/>
        </w:rPr>
        <w:t>Colas v. Tyree</w:t>
      </w:r>
      <w:r>
        <w:rPr>
          <w:color w:val="231F20"/>
        </w:rPr>
        <w:t>, 882 S.E.2d</w:t>
      </w:r>
      <w:r>
        <w:rPr>
          <w:color w:val="231F20"/>
          <w:spacing w:val="50"/>
        </w:rPr>
        <w:t xml:space="preserve"> </w:t>
      </w:r>
      <w:r>
        <w:rPr>
          <w:color w:val="231F20"/>
        </w:rPr>
        <w:t>625.</w:t>
      </w:r>
    </w:p>
    <w:p w14:paraId="7B1121F7" w14:textId="6B667B1D" w:rsidR="00085A43" w:rsidRDefault="00085A43" w:rsidP="00D601C9">
      <w:pPr>
        <w:tabs>
          <w:tab w:val="left" w:pos="2041"/>
        </w:tabs>
        <w:spacing w:before="85"/>
        <w:ind w:left="1440"/>
        <w:rPr>
          <w:color w:val="231F20"/>
        </w:rPr>
      </w:pPr>
      <w:r>
        <w:rPr>
          <w:color w:val="231F20"/>
        </w:rPr>
        <w:t>Plaintiff called detective as an adverse witness in this police shooting case.  Detective</w:t>
      </w:r>
      <w:r w:rsidR="00D601C9">
        <w:rPr>
          <w:color w:val="231F20"/>
        </w:rPr>
        <w:t>’</w:t>
      </w:r>
      <w:r>
        <w:rPr>
          <w:color w:val="231F20"/>
        </w:rPr>
        <w:t xml:space="preserve">s uncontradicted </w:t>
      </w:r>
      <w:r w:rsidR="00D601C9">
        <w:rPr>
          <w:color w:val="231F20"/>
        </w:rPr>
        <w:t>testimony dictates that plaintiff’s case be stricken.</w:t>
      </w:r>
    </w:p>
    <w:p w14:paraId="72A0FBCA" w14:textId="5FB9EEF5" w:rsidR="009910CD" w:rsidRPr="00AF062B" w:rsidRDefault="00FC2690" w:rsidP="00085A43">
      <w:pPr>
        <w:tabs>
          <w:tab w:val="left" w:pos="2041"/>
        </w:tabs>
        <w:spacing w:before="85"/>
        <w:ind w:left="1170" w:hanging="450"/>
        <w:rPr>
          <w:b/>
          <w:color w:val="231F20"/>
        </w:rPr>
      </w:pPr>
      <w:r>
        <w:rPr>
          <w:b/>
          <w:color w:val="231F20"/>
        </w:rPr>
        <w:t>[6]</w:t>
      </w:r>
      <w:r>
        <w:rPr>
          <w:b/>
          <w:color w:val="231F20"/>
        </w:rPr>
        <w:tab/>
        <w:t>Statements</w:t>
      </w:r>
    </w:p>
    <w:p w14:paraId="47BED287" w14:textId="7990598D" w:rsidR="000C0785" w:rsidRPr="000C0785" w:rsidRDefault="000C0785" w:rsidP="00AF062B">
      <w:pPr>
        <w:spacing w:before="135"/>
        <w:ind w:left="1440"/>
        <w:rPr>
          <w:color w:val="231F20"/>
        </w:rPr>
      </w:pPr>
      <w:r>
        <w:rPr>
          <w:i/>
          <w:iCs/>
          <w:color w:val="231F20"/>
        </w:rPr>
        <w:t>See</w:t>
      </w:r>
      <w:r>
        <w:rPr>
          <w:color w:val="231F20"/>
        </w:rPr>
        <w:t xml:space="preserve"> Virginia Code 8.01-</w:t>
      </w:r>
      <w:r w:rsidR="00EC3E37">
        <w:rPr>
          <w:color w:val="231F20"/>
        </w:rPr>
        <w:t>420.2 as to limitation on use of recorded conversations.</w:t>
      </w:r>
    </w:p>
    <w:p w14:paraId="24E86EE4" w14:textId="682DFFE5" w:rsidR="009910CD" w:rsidRDefault="00FC2690" w:rsidP="00770535">
      <w:pPr>
        <w:spacing w:before="135"/>
        <w:ind w:left="720"/>
      </w:pPr>
      <w:r>
        <w:rPr>
          <w:color w:val="231F20"/>
        </w:rPr>
        <w:lastRenderedPageBreak/>
        <w:t>2011—</w:t>
      </w:r>
      <w:r>
        <w:rPr>
          <w:i/>
          <w:color w:val="231F20"/>
        </w:rPr>
        <w:t xml:space="preserve">Ruhlin </w:t>
      </w:r>
      <w:r>
        <w:rPr>
          <w:i/>
          <w:color w:val="231F20"/>
          <w:spacing w:val="-9"/>
        </w:rPr>
        <w:t>v.</w:t>
      </w:r>
      <w:r w:rsidR="00B64C57">
        <w:rPr>
          <w:i/>
          <w:color w:val="231F20"/>
          <w:spacing w:val="-9"/>
        </w:rPr>
        <w:t xml:space="preserve"> </w:t>
      </w:r>
      <w:r>
        <w:rPr>
          <w:i/>
          <w:color w:val="231F20"/>
        </w:rPr>
        <w:t>Samaan</w:t>
      </w:r>
      <w:r>
        <w:rPr>
          <w:color w:val="231F20"/>
        </w:rPr>
        <w:t xml:space="preserve">, 282 </w:t>
      </w:r>
      <w:r>
        <w:rPr>
          <w:color w:val="231F20"/>
          <w:spacing w:val="-9"/>
        </w:rPr>
        <w:t>Va.</w:t>
      </w:r>
      <w:r w:rsidR="00B64C57">
        <w:rPr>
          <w:color w:val="231F20"/>
          <w:spacing w:val="-9"/>
        </w:rPr>
        <w:t xml:space="preserve"> </w:t>
      </w:r>
      <w:r>
        <w:rPr>
          <w:color w:val="231F20"/>
        </w:rPr>
        <w:t>371, 718 S.E.2d</w:t>
      </w:r>
      <w:r>
        <w:rPr>
          <w:color w:val="231F20"/>
          <w:spacing w:val="50"/>
        </w:rPr>
        <w:t xml:space="preserve"> </w:t>
      </w:r>
      <w:r>
        <w:rPr>
          <w:color w:val="231F20"/>
        </w:rPr>
        <w:t>447.</w:t>
      </w:r>
    </w:p>
    <w:p w14:paraId="03F2FA12" w14:textId="77777777" w:rsidR="009910CD" w:rsidRPr="0005437D" w:rsidRDefault="00FC2690" w:rsidP="0005437D">
      <w:pPr>
        <w:pStyle w:val="BodyText"/>
        <w:spacing w:before="120" w:after="120"/>
        <w:ind w:left="1440"/>
        <w:jc w:val="both"/>
        <w:rPr>
          <w:color w:val="231F20"/>
        </w:rPr>
      </w:pPr>
      <w:r>
        <w:rPr>
          <w:color w:val="231F20"/>
        </w:rPr>
        <w:t>In this personal injury action, defense counsel was properly allowed to use the transcript of a recorded telephone conversation of the plaintiff taken by the insurance adjuster for the sole purpose of refreshing the plaintiff’s recollection at trial. The statement was not identified as to the source of the document nor was it admitted into evidence.</w:t>
      </w:r>
    </w:p>
    <w:p w14:paraId="1B7044D5" w14:textId="77777777" w:rsidR="009910CD" w:rsidRDefault="009910CD">
      <w:pPr>
        <w:pStyle w:val="BodyText"/>
        <w:spacing w:before="10"/>
        <w:rPr>
          <w:sz w:val="25"/>
        </w:rPr>
      </w:pPr>
    </w:p>
    <w:p w14:paraId="3D0D4D03" w14:textId="77777777" w:rsidR="00EA1EE3" w:rsidRDefault="00EA1EE3">
      <w:pPr>
        <w:rPr>
          <w:b/>
          <w:bCs/>
          <w:color w:val="231F20"/>
          <w:sz w:val="40"/>
          <w:szCs w:val="40"/>
        </w:rPr>
      </w:pPr>
      <w:r>
        <w:rPr>
          <w:color w:val="231F20"/>
        </w:rPr>
        <w:br w:type="page"/>
      </w:r>
    </w:p>
    <w:p w14:paraId="42503751" w14:textId="77777777" w:rsidR="00476EC5" w:rsidRDefault="00FC2690" w:rsidP="00476EC5">
      <w:pPr>
        <w:pStyle w:val="Heading1"/>
        <w:spacing w:before="1" w:line="321" w:lineRule="auto"/>
        <w:ind w:left="0" w:right="0"/>
        <w:jc w:val="center"/>
        <w:rPr>
          <w:color w:val="231F20"/>
        </w:rPr>
      </w:pPr>
      <w:r>
        <w:rPr>
          <w:color w:val="231F20"/>
        </w:rPr>
        <w:lastRenderedPageBreak/>
        <w:t xml:space="preserve">Chapter 18 </w:t>
      </w:r>
    </w:p>
    <w:p w14:paraId="1A67065B" w14:textId="77777777" w:rsidR="009910CD" w:rsidRDefault="00FC2690" w:rsidP="00476EC5">
      <w:pPr>
        <w:pStyle w:val="Heading1"/>
        <w:spacing w:before="1" w:line="321" w:lineRule="auto"/>
        <w:ind w:left="0" w:right="0"/>
        <w:jc w:val="center"/>
      </w:pPr>
      <w:r>
        <w:rPr>
          <w:color w:val="231F20"/>
          <w:w w:val="95"/>
        </w:rPr>
        <w:t>PROCEDURE</w:t>
      </w:r>
    </w:p>
    <w:p w14:paraId="7D6B820F"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18.01</w:t>
      </w:r>
      <w:r>
        <w:rPr>
          <w:color w:val="231F20"/>
        </w:rPr>
        <w:tab/>
        <w:t>Ad</w:t>
      </w:r>
      <w:r w:rsidRPr="00ED1338">
        <w:rPr>
          <w:color w:val="231F20"/>
        </w:rPr>
        <w:t xml:space="preserve"> </w:t>
      </w:r>
      <w:r>
        <w:rPr>
          <w:color w:val="231F20"/>
        </w:rPr>
        <w:t>Damnum</w:t>
      </w:r>
    </w:p>
    <w:p w14:paraId="206971B6" w14:textId="77777777" w:rsidR="009910CD" w:rsidRDefault="00FC2690" w:rsidP="00770535">
      <w:pPr>
        <w:spacing w:before="126"/>
        <w:ind w:left="720"/>
      </w:pPr>
      <w:r>
        <w:rPr>
          <w:color w:val="231F20"/>
        </w:rPr>
        <w:t>2015—</w:t>
      </w:r>
      <w:r>
        <w:rPr>
          <w:i/>
          <w:color w:val="231F20"/>
        </w:rPr>
        <w:t>Shevlin Smith v.</w:t>
      </w:r>
      <w:r w:rsidR="00B64C57">
        <w:rPr>
          <w:i/>
          <w:color w:val="231F20"/>
        </w:rPr>
        <w:t xml:space="preserve"> </w:t>
      </w:r>
      <w:r>
        <w:rPr>
          <w:i/>
          <w:color w:val="231F20"/>
        </w:rPr>
        <w:t>McLaughlin</w:t>
      </w:r>
      <w:r>
        <w:rPr>
          <w:color w:val="231F20"/>
        </w:rPr>
        <w:t>, 289 Va.</w:t>
      </w:r>
      <w:r w:rsidR="00B64C57">
        <w:rPr>
          <w:color w:val="231F20"/>
        </w:rPr>
        <w:t xml:space="preserve"> </w:t>
      </w:r>
      <w:r>
        <w:rPr>
          <w:color w:val="231F20"/>
        </w:rPr>
        <w:t>241, 769 S.E.2d</w:t>
      </w:r>
      <w:r w:rsidR="00B64C57">
        <w:rPr>
          <w:color w:val="231F20"/>
        </w:rPr>
        <w:t xml:space="preserve"> </w:t>
      </w:r>
      <w:r>
        <w:rPr>
          <w:color w:val="231F20"/>
        </w:rPr>
        <w:t>7.</w:t>
      </w:r>
    </w:p>
    <w:p w14:paraId="083C1B21" w14:textId="77777777" w:rsidR="009910CD" w:rsidRDefault="00FC2690" w:rsidP="0005437D">
      <w:pPr>
        <w:pStyle w:val="BodyText"/>
        <w:spacing w:before="120" w:after="120"/>
        <w:ind w:left="1440"/>
        <w:jc w:val="both"/>
        <w:rPr>
          <w:color w:val="231F20"/>
        </w:rPr>
      </w:pPr>
      <w:r>
        <w:rPr>
          <w:color w:val="231F20"/>
        </w:rPr>
        <w:t>In this legal malpractice action Plaintiff sued for $6,000,000.00 and at trial counsel asked for $10,000,000.00. That was</w:t>
      </w:r>
      <w:r w:rsidR="00B64C57">
        <w:rPr>
          <w:color w:val="231F20"/>
        </w:rPr>
        <w:t xml:space="preserve"> </w:t>
      </w:r>
      <w:r>
        <w:rPr>
          <w:color w:val="231F20"/>
        </w:rPr>
        <w:t>impermissible.</w:t>
      </w:r>
    </w:p>
    <w:p w14:paraId="04E96376" w14:textId="77777777" w:rsidR="00764D2D" w:rsidRPr="00ED1338" w:rsidRDefault="00764D2D"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18.02</w:t>
      </w:r>
      <w:r>
        <w:rPr>
          <w:color w:val="231F20"/>
        </w:rPr>
        <w:tab/>
        <w:t>Affidavits</w:t>
      </w:r>
    </w:p>
    <w:p w14:paraId="5BE28465" w14:textId="77777777" w:rsidR="00E96831" w:rsidRDefault="00E96831" w:rsidP="00AF062B">
      <w:pPr>
        <w:pStyle w:val="Heading4"/>
        <w:tabs>
          <w:tab w:val="left" w:pos="2304"/>
        </w:tabs>
        <w:spacing w:before="0" w:line="244" w:lineRule="exact"/>
        <w:ind w:left="1800"/>
        <w:jc w:val="both"/>
        <w:rPr>
          <w:b w:val="0"/>
          <w:color w:val="231F20"/>
        </w:rPr>
      </w:pPr>
    </w:p>
    <w:p w14:paraId="5B63BFD6" w14:textId="1C5A7B11" w:rsidR="00885FD7" w:rsidRPr="00885FD7" w:rsidRDefault="00885FD7" w:rsidP="00885FD7">
      <w:pPr>
        <w:pStyle w:val="Heading4"/>
        <w:tabs>
          <w:tab w:val="left" w:pos="2304"/>
        </w:tabs>
        <w:spacing w:before="0" w:line="244" w:lineRule="exact"/>
        <w:ind w:left="720"/>
        <w:jc w:val="both"/>
        <w:rPr>
          <w:b w:val="0"/>
          <w:bCs w:val="0"/>
        </w:rPr>
      </w:pPr>
      <w:r w:rsidRPr="002F24E0">
        <w:rPr>
          <w:b w:val="0"/>
          <w:i/>
          <w:iCs/>
          <w:color w:val="231F20"/>
        </w:rPr>
        <w:t>See</w:t>
      </w:r>
      <w:r>
        <w:rPr>
          <w:b w:val="0"/>
          <w:color w:val="231F20"/>
        </w:rPr>
        <w:t xml:space="preserve"> </w:t>
      </w:r>
      <w:r w:rsidR="002F24E0">
        <w:rPr>
          <w:b w:val="0"/>
          <w:color w:val="231F20"/>
        </w:rPr>
        <w:t>Va.</w:t>
      </w:r>
      <w:r>
        <w:rPr>
          <w:b w:val="0"/>
          <w:color w:val="231F20"/>
        </w:rPr>
        <w:t xml:space="preserve"> Code §</w:t>
      </w:r>
      <w:r>
        <w:rPr>
          <w:b w:val="0"/>
          <w:bCs w:val="0"/>
        </w:rPr>
        <w:t xml:space="preserve"> 8.01-414 as to affidavit being prima facia evidence of non-residence even if signed by a party.</w:t>
      </w:r>
    </w:p>
    <w:p w14:paraId="106D44F8" w14:textId="77777777" w:rsidR="00885FD7" w:rsidRDefault="00885FD7" w:rsidP="00885FD7">
      <w:pPr>
        <w:pStyle w:val="Heading4"/>
        <w:tabs>
          <w:tab w:val="left" w:pos="2304"/>
        </w:tabs>
        <w:spacing w:before="0" w:line="244" w:lineRule="exact"/>
        <w:ind w:left="720"/>
        <w:jc w:val="both"/>
        <w:rPr>
          <w:b w:val="0"/>
          <w:color w:val="231F20"/>
        </w:rPr>
      </w:pPr>
    </w:p>
    <w:p w14:paraId="50B5703F" w14:textId="6E8B932F" w:rsidR="00E96831" w:rsidRPr="00764D2D" w:rsidRDefault="00E96831" w:rsidP="00885FD7">
      <w:pPr>
        <w:pStyle w:val="Heading4"/>
        <w:tabs>
          <w:tab w:val="left" w:pos="2304"/>
        </w:tabs>
        <w:spacing w:before="0" w:line="244" w:lineRule="exact"/>
        <w:ind w:left="720"/>
        <w:jc w:val="both"/>
        <w:rPr>
          <w:b w:val="0"/>
        </w:rPr>
      </w:pPr>
      <w:r w:rsidRPr="002F24E0">
        <w:rPr>
          <w:b w:val="0"/>
          <w:i/>
          <w:iCs/>
          <w:color w:val="231F20"/>
        </w:rPr>
        <w:t>See</w:t>
      </w:r>
      <w:r>
        <w:rPr>
          <w:b w:val="0"/>
          <w:color w:val="231F20"/>
        </w:rPr>
        <w:t xml:space="preserve"> </w:t>
      </w:r>
      <w:r w:rsidR="002F24E0">
        <w:rPr>
          <w:b w:val="0"/>
          <w:color w:val="231F20"/>
        </w:rPr>
        <w:t>Va.</w:t>
      </w:r>
      <w:r w:rsidR="00885FD7">
        <w:rPr>
          <w:b w:val="0"/>
          <w:color w:val="231F20"/>
        </w:rPr>
        <w:t xml:space="preserve"> Code </w:t>
      </w:r>
      <w:r>
        <w:rPr>
          <w:b w:val="0"/>
          <w:color w:val="231F20"/>
        </w:rPr>
        <w:t>§ 8.01-280 stating that affidavits may be based upon belief.</w:t>
      </w:r>
    </w:p>
    <w:p w14:paraId="7788A882" w14:textId="77777777" w:rsidR="00E96831" w:rsidRDefault="00E96831" w:rsidP="00885FD7">
      <w:pPr>
        <w:pStyle w:val="Heading4"/>
        <w:tabs>
          <w:tab w:val="left" w:pos="2304"/>
        </w:tabs>
        <w:spacing w:before="0" w:line="244" w:lineRule="exact"/>
        <w:ind w:left="720"/>
        <w:jc w:val="both"/>
        <w:rPr>
          <w:b w:val="0"/>
          <w:color w:val="231F20"/>
        </w:rPr>
      </w:pPr>
    </w:p>
    <w:p w14:paraId="0EDDC2F8" w14:textId="3399D485" w:rsidR="00273D8A" w:rsidRDefault="002F24E0" w:rsidP="00885FD7">
      <w:pPr>
        <w:pStyle w:val="Heading4"/>
        <w:tabs>
          <w:tab w:val="left" w:pos="2304"/>
        </w:tabs>
        <w:spacing w:before="0" w:line="244" w:lineRule="exact"/>
        <w:ind w:left="720"/>
        <w:jc w:val="both"/>
        <w:rPr>
          <w:b w:val="0"/>
          <w:color w:val="231F20"/>
        </w:rPr>
      </w:pPr>
      <w:r>
        <w:rPr>
          <w:b w:val="0"/>
          <w:color w:val="231F20"/>
        </w:rPr>
        <w:t>Va.</w:t>
      </w:r>
      <w:r w:rsidR="00273D8A">
        <w:rPr>
          <w:b w:val="0"/>
          <w:color w:val="231F20"/>
        </w:rPr>
        <w:t xml:space="preserve"> Code § 8.01-4.3 allows use of unsworn declarations except in regards to depositions, oath of office or oath required to be taken before a specified official other than a notary.</w:t>
      </w:r>
    </w:p>
    <w:p w14:paraId="590E40D7" w14:textId="77777777" w:rsidR="00273D8A" w:rsidRDefault="00273D8A" w:rsidP="00885FD7">
      <w:pPr>
        <w:pStyle w:val="Heading4"/>
        <w:tabs>
          <w:tab w:val="left" w:pos="2304"/>
        </w:tabs>
        <w:spacing w:before="0" w:line="244" w:lineRule="exact"/>
        <w:ind w:left="720"/>
        <w:jc w:val="both"/>
        <w:rPr>
          <w:b w:val="0"/>
          <w:color w:val="231F20"/>
        </w:rPr>
      </w:pPr>
    </w:p>
    <w:p w14:paraId="08994843" w14:textId="2B808853" w:rsidR="00764D2D" w:rsidRDefault="00764D2D" w:rsidP="00885FD7">
      <w:pPr>
        <w:pStyle w:val="Heading4"/>
        <w:tabs>
          <w:tab w:val="left" w:pos="2304"/>
        </w:tabs>
        <w:spacing w:before="0" w:line="244" w:lineRule="exact"/>
        <w:ind w:left="720"/>
        <w:jc w:val="both"/>
        <w:rPr>
          <w:b w:val="0"/>
          <w:color w:val="231F20"/>
        </w:rPr>
      </w:pPr>
      <w:r w:rsidRPr="002F24E0">
        <w:rPr>
          <w:b w:val="0"/>
          <w:i/>
          <w:iCs/>
          <w:color w:val="231F20"/>
        </w:rPr>
        <w:t>See</w:t>
      </w:r>
      <w:r>
        <w:rPr>
          <w:b w:val="0"/>
          <w:color w:val="231F20"/>
        </w:rPr>
        <w:t xml:space="preserve"> </w:t>
      </w:r>
      <w:r w:rsidR="002F24E0">
        <w:rPr>
          <w:b w:val="0"/>
          <w:color w:val="231F20"/>
        </w:rPr>
        <w:t xml:space="preserve">Va. Code </w:t>
      </w:r>
      <w:r>
        <w:rPr>
          <w:b w:val="0"/>
          <w:color w:val="231F20"/>
        </w:rPr>
        <w:t>§ 8.01-</w:t>
      </w:r>
      <w:r w:rsidR="00165098">
        <w:rPr>
          <w:b w:val="0"/>
          <w:color w:val="231F20"/>
        </w:rPr>
        <w:t xml:space="preserve">279 as to </w:t>
      </w:r>
      <w:r w:rsidR="00C826A0">
        <w:rPr>
          <w:b w:val="0"/>
          <w:color w:val="231F20"/>
        </w:rPr>
        <w:t>affidavits dealing with ownership, control, etc.</w:t>
      </w:r>
    </w:p>
    <w:p w14:paraId="7B75F420" w14:textId="77777777" w:rsidR="009910CD" w:rsidRPr="00ED1338" w:rsidRDefault="00FC2690" w:rsidP="00EA1EE3">
      <w:pPr>
        <w:pStyle w:val="Heading4"/>
        <w:tabs>
          <w:tab w:val="left" w:pos="720"/>
        </w:tabs>
        <w:spacing w:before="120" w:line="241" w:lineRule="exact"/>
        <w:ind w:left="0"/>
        <w:rPr>
          <w:color w:val="231F20"/>
        </w:rPr>
      </w:pPr>
      <w:r>
        <w:rPr>
          <w:color w:val="231F20"/>
        </w:rPr>
        <w:t>§</w:t>
      </w:r>
      <w:r w:rsidRPr="00ED1338">
        <w:rPr>
          <w:color w:val="231F20"/>
        </w:rPr>
        <w:t xml:space="preserve"> </w:t>
      </w:r>
      <w:r>
        <w:rPr>
          <w:color w:val="231F20"/>
        </w:rPr>
        <w:t>18.03</w:t>
      </w:r>
      <w:r>
        <w:rPr>
          <w:color w:val="231F20"/>
        </w:rPr>
        <w:tab/>
        <w:t>Appeal and</w:t>
      </w:r>
      <w:r w:rsidRPr="00ED1338">
        <w:rPr>
          <w:color w:val="231F20"/>
        </w:rPr>
        <w:t xml:space="preserve"> </w:t>
      </w:r>
      <w:r>
        <w:rPr>
          <w:color w:val="231F20"/>
        </w:rPr>
        <w:t>Error</w:t>
      </w:r>
    </w:p>
    <w:p w14:paraId="77235BE5" w14:textId="77777777" w:rsidR="009910CD" w:rsidRDefault="00FC2690" w:rsidP="00AF062B">
      <w:pPr>
        <w:pStyle w:val="ListParagraph"/>
        <w:numPr>
          <w:ilvl w:val="0"/>
          <w:numId w:val="6"/>
        </w:numPr>
        <w:spacing w:before="85"/>
        <w:ind w:left="1170" w:hanging="450"/>
        <w:rPr>
          <w:b/>
        </w:rPr>
      </w:pPr>
      <w:r>
        <w:rPr>
          <w:b/>
          <w:color w:val="231F20"/>
        </w:rPr>
        <w:t>Contemporaneous</w:t>
      </w:r>
      <w:r>
        <w:rPr>
          <w:b/>
          <w:color w:val="231F20"/>
          <w:spacing w:val="12"/>
        </w:rPr>
        <w:t xml:space="preserve"> </w:t>
      </w:r>
      <w:r>
        <w:rPr>
          <w:b/>
          <w:color w:val="231F20"/>
        </w:rPr>
        <w:t>Objection</w:t>
      </w:r>
    </w:p>
    <w:p w14:paraId="22894C2A" w14:textId="77777777" w:rsidR="009910CD" w:rsidRDefault="00FC2690" w:rsidP="00770535">
      <w:pPr>
        <w:spacing w:before="125"/>
        <w:ind w:left="720"/>
      </w:pPr>
      <w:r>
        <w:rPr>
          <w:color w:val="231F20"/>
        </w:rPr>
        <w:t>2010—</w:t>
      </w:r>
      <w:r>
        <w:rPr>
          <w:i/>
          <w:color w:val="231F20"/>
        </w:rPr>
        <w:t>Johnson v.</w:t>
      </w:r>
      <w:r w:rsidR="00B64C57">
        <w:rPr>
          <w:i/>
          <w:color w:val="231F20"/>
        </w:rPr>
        <w:t xml:space="preserve"> </w:t>
      </w:r>
      <w:r>
        <w:rPr>
          <w:i/>
          <w:color w:val="231F20"/>
        </w:rPr>
        <w:t>Hart</w:t>
      </w:r>
      <w:r>
        <w:rPr>
          <w:color w:val="231F20"/>
        </w:rPr>
        <w:t>, 279 Va.</w:t>
      </w:r>
      <w:r w:rsidR="00B64C57">
        <w:rPr>
          <w:color w:val="231F20"/>
        </w:rPr>
        <w:t xml:space="preserve"> </w:t>
      </w:r>
      <w:r>
        <w:rPr>
          <w:color w:val="231F20"/>
        </w:rPr>
        <w:t>617, 692 S.E.2d</w:t>
      </w:r>
      <w:r w:rsidR="00B64C57">
        <w:rPr>
          <w:color w:val="231F20"/>
        </w:rPr>
        <w:t xml:space="preserve"> </w:t>
      </w:r>
      <w:r>
        <w:rPr>
          <w:color w:val="231F20"/>
        </w:rPr>
        <w:t>239.</w:t>
      </w:r>
    </w:p>
    <w:p w14:paraId="083BB75C" w14:textId="77777777" w:rsidR="009910CD" w:rsidRPr="0005437D" w:rsidRDefault="00FC2690" w:rsidP="0005437D">
      <w:pPr>
        <w:pStyle w:val="BodyText"/>
        <w:spacing w:before="120" w:after="120"/>
        <w:ind w:left="1440"/>
        <w:jc w:val="both"/>
        <w:rPr>
          <w:color w:val="231F20"/>
        </w:rPr>
      </w:pPr>
      <w:r>
        <w:rPr>
          <w:color w:val="231F20"/>
        </w:rPr>
        <w:t>An attorney who wins on summary judgment and signs the Order</w:t>
      </w:r>
      <w:r w:rsidRPr="0005437D">
        <w:rPr>
          <w:color w:val="231F20"/>
        </w:rPr>
        <w:t xml:space="preserve"> </w:t>
      </w:r>
      <w:r>
        <w:rPr>
          <w:color w:val="231F20"/>
        </w:rPr>
        <w:t xml:space="preserve">as seen and consented to does not thereby waive objections to </w:t>
      </w:r>
      <w:r w:rsidR="00AE3B68">
        <w:rPr>
          <w:color w:val="231F20"/>
        </w:rPr>
        <w:t>previously rulings made by the t</w:t>
      </w:r>
      <w:r>
        <w:rPr>
          <w:color w:val="231F20"/>
        </w:rPr>
        <w:t xml:space="preserve">rial </w:t>
      </w:r>
      <w:r w:rsidR="00AE3B68">
        <w:rPr>
          <w:color w:val="231F20"/>
        </w:rPr>
        <w:t>c</w:t>
      </w:r>
      <w:r>
        <w:rPr>
          <w:color w:val="231F20"/>
        </w:rPr>
        <w:t>ourt to which appropriate objection had been</w:t>
      </w:r>
      <w:r w:rsidRPr="0005437D">
        <w:rPr>
          <w:color w:val="231F20"/>
        </w:rPr>
        <w:t xml:space="preserve"> </w:t>
      </w:r>
      <w:r>
        <w:rPr>
          <w:color w:val="231F20"/>
        </w:rPr>
        <w:t>made.</w:t>
      </w:r>
    </w:p>
    <w:p w14:paraId="75F5FE90" w14:textId="77777777" w:rsidR="009910CD" w:rsidRDefault="00FC2690" w:rsidP="00AF062B">
      <w:pPr>
        <w:pStyle w:val="Heading4"/>
        <w:numPr>
          <w:ilvl w:val="0"/>
          <w:numId w:val="6"/>
        </w:numPr>
        <w:spacing w:before="78"/>
        <w:ind w:left="1170" w:hanging="450"/>
      </w:pPr>
      <w:r>
        <w:rPr>
          <w:color w:val="231F20"/>
        </w:rPr>
        <w:t>Final</w:t>
      </w:r>
      <w:r>
        <w:rPr>
          <w:color w:val="231F20"/>
          <w:spacing w:val="15"/>
        </w:rPr>
        <w:t xml:space="preserve"> </w:t>
      </w:r>
      <w:r>
        <w:rPr>
          <w:color w:val="231F20"/>
        </w:rPr>
        <w:t>Order</w:t>
      </w:r>
    </w:p>
    <w:p w14:paraId="7933D8B7" w14:textId="77777777" w:rsidR="009910CD" w:rsidRDefault="00FC2690" w:rsidP="00770535">
      <w:pPr>
        <w:spacing w:before="126"/>
        <w:ind w:left="720"/>
      </w:pPr>
      <w:r>
        <w:rPr>
          <w:color w:val="231F20"/>
        </w:rPr>
        <w:t>2009—</w:t>
      </w:r>
      <w:r>
        <w:rPr>
          <w:i/>
          <w:color w:val="231F20"/>
        </w:rPr>
        <w:t>Hutchins v.</w:t>
      </w:r>
      <w:r w:rsidR="00B64C57">
        <w:rPr>
          <w:i/>
          <w:color w:val="231F20"/>
        </w:rPr>
        <w:t xml:space="preserve"> </w:t>
      </w:r>
      <w:r>
        <w:rPr>
          <w:i/>
          <w:color w:val="231F20"/>
        </w:rPr>
        <w:t>Talbert</w:t>
      </w:r>
      <w:r>
        <w:rPr>
          <w:color w:val="231F20"/>
        </w:rPr>
        <w:t>, 278 Va.</w:t>
      </w:r>
      <w:r w:rsidR="00B64C57">
        <w:rPr>
          <w:color w:val="231F20"/>
        </w:rPr>
        <w:t xml:space="preserve"> </w:t>
      </w:r>
      <w:r>
        <w:rPr>
          <w:color w:val="231F20"/>
        </w:rPr>
        <w:t>650, 685 S.E.2d</w:t>
      </w:r>
      <w:r w:rsidR="00B64C57">
        <w:rPr>
          <w:color w:val="231F20"/>
        </w:rPr>
        <w:t xml:space="preserve"> </w:t>
      </w:r>
      <w:r>
        <w:rPr>
          <w:color w:val="231F20"/>
        </w:rPr>
        <w:t>658.</w:t>
      </w:r>
    </w:p>
    <w:p w14:paraId="550DCECE" w14:textId="4D54CB17" w:rsidR="009910CD" w:rsidRDefault="00FC2690" w:rsidP="0005437D">
      <w:pPr>
        <w:pStyle w:val="BodyText"/>
        <w:spacing w:before="120" w:after="120"/>
        <w:ind w:left="1440"/>
        <w:jc w:val="both"/>
        <w:rPr>
          <w:color w:val="231F20"/>
        </w:rPr>
      </w:pPr>
      <w:r>
        <w:rPr>
          <w:color w:val="231F20"/>
        </w:rPr>
        <w:t>In medical malpractice action, an order denying motion to set aside verdict was not a final order for purposes of appeal wherein trial judge has already entered final order which was not vacated, suspended, or modified. As such, the notice of appeal was untimely since</w:t>
      </w:r>
      <w:r w:rsidRPr="0005437D">
        <w:rPr>
          <w:color w:val="231F20"/>
        </w:rPr>
        <w:t xml:space="preserve"> </w:t>
      </w:r>
      <w:r>
        <w:rPr>
          <w:color w:val="231F20"/>
        </w:rPr>
        <w:t>it</w:t>
      </w:r>
      <w:r w:rsidRPr="0005437D">
        <w:rPr>
          <w:color w:val="231F20"/>
        </w:rPr>
        <w:t xml:space="preserve"> </w:t>
      </w:r>
      <w:r>
        <w:rPr>
          <w:color w:val="231F20"/>
        </w:rPr>
        <w:t>was</w:t>
      </w:r>
      <w:r w:rsidRPr="0005437D">
        <w:rPr>
          <w:color w:val="231F20"/>
        </w:rPr>
        <w:t xml:space="preserve"> </w:t>
      </w:r>
      <w:r>
        <w:rPr>
          <w:color w:val="231F20"/>
        </w:rPr>
        <w:t>filed</w:t>
      </w:r>
      <w:r w:rsidRPr="0005437D">
        <w:rPr>
          <w:color w:val="231F20"/>
        </w:rPr>
        <w:t xml:space="preserve"> </w:t>
      </w:r>
      <w:r>
        <w:rPr>
          <w:color w:val="231F20"/>
        </w:rPr>
        <w:t>more</w:t>
      </w:r>
      <w:r w:rsidRPr="0005437D">
        <w:rPr>
          <w:color w:val="231F20"/>
        </w:rPr>
        <w:t xml:space="preserve"> </w:t>
      </w:r>
      <w:r>
        <w:rPr>
          <w:color w:val="231F20"/>
        </w:rPr>
        <w:t>than</w:t>
      </w:r>
      <w:r w:rsidRPr="0005437D">
        <w:rPr>
          <w:color w:val="231F20"/>
        </w:rPr>
        <w:t xml:space="preserve"> </w:t>
      </w:r>
      <w:r>
        <w:rPr>
          <w:color w:val="231F20"/>
        </w:rPr>
        <w:t>30</w:t>
      </w:r>
      <w:r w:rsidRPr="0005437D">
        <w:rPr>
          <w:color w:val="231F20"/>
        </w:rPr>
        <w:t xml:space="preserve"> </w:t>
      </w:r>
      <w:r>
        <w:rPr>
          <w:color w:val="231F20"/>
        </w:rPr>
        <w:t>days</w:t>
      </w:r>
      <w:r w:rsidRPr="0005437D">
        <w:rPr>
          <w:color w:val="231F20"/>
        </w:rPr>
        <w:t xml:space="preserve"> </w:t>
      </w:r>
      <w:r>
        <w:rPr>
          <w:color w:val="231F20"/>
        </w:rPr>
        <w:t>after</w:t>
      </w:r>
      <w:r w:rsidRPr="0005437D">
        <w:rPr>
          <w:color w:val="231F20"/>
        </w:rPr>
        <w:t xml:space="preserve"> </w:t>
      </w:r>
      <w:r>
        <w:rPr>
          <w:color w:val="231F20"/>
        </w:rPr>
        <w:t>the</w:t>
      </w:r>
      <w:r w:rsidRPr="0005437D">
        <w:rPr>
          <w:color w:val="231F20"/>
        </w:rPr>
        <w:t xml:space="preserve"> </w:t>
      </w:r>
      <w:r>
        <w:rPr>
          <w:color w:val="231F20"/>
        </w:rPr>
        <w:t>entry</w:t>
      </w:r>
      <w:r w:rsidRPr="0005437D">
        <w:rPr>
          <w:color w:val="231F20"/>
        </w:rPr>
        <w:t xml:space="preserve"> </w:t>
      </w:r>
      <w:r>
        <w:rPr>
          <w:color w:val="231F20"/>
        </w:rPr>
        <w:t>of</w:t>
      </w:r>
      <w:r w:rsidRPr="0005437D">
        <w:rPr>
          <w:color w:val="231F20"/>
        </w:rPr>
        <w:t xml:space="preserve"> </w:t>
      </w:r>
      <w:r>
        <w:rPr>
          <w:color w:val="231F20"/>
        </w:rPr>
        <w:t>the</w:t>
      </w:r>
      <w:r w:rsidRPr="0005437D">
        <w:rPr>
          <w:color w:val="231F20"/>
        </w:rPr>
        <w:t xml:space="preserve"> </w:t>
      </w:r>
      <w:r>
        <w:rPr>
          <w:color w:val="231F20"/>
        </w:rPr>
        <w:t>final</w:t>
      </w:r>
      <w:r w:rsidRPr="0005437D">
        <w:rPr>
          <w:color w:val="231F20"/>
        </w:rPr>
        <w:t xml:space="preserve"> order.</w:t>
      </w:r>
    </w:p>
    <w:p w14:paraId="20F117E4" w14:textId="5360FC49" w:rsidR="00DE609B" w:rsidRDefault="00DE609B" w:rsidP="00AF062B">
      <w:pPr>
        <w:pStyle w:val="Heading4"/>
        <w:numPr>
          <w:ilvl w:val="0"/>
          <w:numId w:val="6"/>
        </w:numPr>
        <w:spacing w:before="78"/>
        <w:ind w:left="1170" w:hanging="450"/>
      </w:pPr>
      <w:r>
        <w:rPr>
          <w:color w:val="231F20"/>
        </w:rPr>
        <w:t>Harmless Error</w:t>
      </w:r>
    </w:p>
    <w:p w14:paraId="330F39CC" w14:textId="77777777" w:rsidR="00DE609B" w:rsidRDefault="00DE609B" w:rsidP="00DF5F80">
      <w:pPr>
        <w:spacing w:before="125"/>
        <w:ind w:left="720"/>
      </w:pPr>
      <w:r w:rsidRPr="007A00D1">
        <w:rPr>
          <w:color w:val="231F20"/>
        </w:rPr>
        <w:t>2019—</w:t>
      </w:r>
      <w:r w:rsidRPr="007A00D1">
        <w:rPr>
          <w:i/>
          <w:color w:val="231F20"/>
        </w:rPr>
        <w:t>Spruill v. Garcia</w:t>
      </w:r>
      <w:r w:rsidRPr="007A00D1">
        <w:rPr>
          <w:color w:val="231F20"/>
        </w:rPr>
        <w:t>, 298 Va. 120, 834 S.E.2d 270.</w:t>
      </w:r>
    </w:p>
    <w:p w14:paraId="6A29200C" w14:textId="427D1CF6" w:rsidR="00DE609B" w:rsidRDefault="00DE609B" w:rsidP="00DF5F80">
      <w:pPr>
        <w:pStyle w:val="BodyText"/>
        <w:spacing w:before="120" w:after="120"/>
        <w:ind w:left="1440"/>
        <w:jc w:val="both"/>
        <w:rPr>
          <w:color w:val="231F20"/>
        </w:rPr>
      </w:pPr>
      <w:r>
        <w:rPr>
          <w:color w:val="231F20"/>
        </w:rPr>
        <w:t xml:space="preserve">Medical records were admitted without proper </w:t>
      </w:r>
      <w:proofErr w:type="gramStart"/>
      <w:r>
        <w:rPr>
          <w:color w:val="231F20"/>
        </w:rPr>
        <w:t>authentication</w:t>
      </w:r>
      <w:proofErr w:type="gramEnd"/>
      <w:r>
        <w:rPr>
          <w:color w:val="231F20"/>
        </w:rPr>
        <w:t xml:space="preserve"> which were hearsay.  Supreme Court concluded that the error was harmless. The harmless error analysis essentially means that as long as the parties have had a fair trial on the merits and substantial justice has been reached then absent an issue dealing with subject matter jurisdiction or of constitutional import, the error will be deemed to be harmless.</w:t>
      </w:r>
    </w:p>
    <w:p w14:paraId="0DC38516" w14:textId="77777777" w:rsidR="009910CD" w:rsidRDefault="00FC2690" w:rsidP="00AF062B">
      <w:pPr>
        <w:pStyle w:val="Heading4"/>
        <w:numPr>
          <w:ilvl w:val="0"/>
          <w:numId w:val="5"/>
        </w:numPr>
        <w:spacing w:before="78"/>
        <w:ind w:left="1170" w:hanging="450"/>
        <w:jc w:val="left"/>
      </w:pPr>
      <w:r>
        <w:rPr>
          <w:color w:val="231F20"/>
        </w:rPr>
        <w:t>Miscellaneous</w:t>
      </w:r>
    </w:p>
    <w:p w14:paraId="20D56513" w14:textId="77777777" w:rsidR="009910CD" w:rsidRDefault="00FC2690" w:rsidP="00770535">
      <w:pPr>
        <w:spacing w:before="125"/>
        <w:ind w:left="720"/>
      </w:pPr>
      <w:r>
        <w:rPr>
          <w:color w:val="231F20"/>
        </w:rPr>
        <w:t>2012—</w:t>
      </w:r>
      <w:r>
        <w:rPr>
          <w:i/>
          <w:color w:val="231F20"/>
        </w:rPr>
        <w:t>John Crane, Inc. v.</w:t>
      </w:r>
      <w:r w:rsidR="00B64C57">
        <w:rPr>
          <w:i/>
          <w:color w:val="231F20"/>
        </w:rPr>
        <w:t xml:space="preserve"> </w:t>
      </w:r>
      <w:r>
        <w:rPr>
          <w:i/>
          <w:color w:val="231F20"/>
        </w:rPr>
        <w:t>Hardick</w:t>
      </w:r>
      <w:r>
        <w:rPr>
          <w:color w:val="231F20"/>
        </w:rPr>
        <w:t>, 283 Va.</w:t>
      </w:r>
      <w:r w:rsidR="00B64C57">
        <w:rPr>
          <w:color w:val="231F20"/>
        </w:rPr>
        <w:t xml:space="preserve"> </w:t>
      </w:r>
      <w:r>
        <w:rPr>
          <w:color w:val="231F20"/>
        </w:rPr>
        <w:t>358, 722 S.E.2d</w:t>
      </w:r>
      <w:r w:rsidR="00B64C57">
        <w:rPr>
          <w:color w:val="231F20"/>
        </w:rPr>
        <w:t xml:space="preserve"> </w:t>
      </w:r>
      <w:r>
        <w:rPr>
          <w:color w:val="231F20"/>
        </w:rPr>
        <w:t>610.</w:t>
      </w:r>
    </w:p>
    <w:p w14:paraId="359359B4" w14:textId="77777777" w:rsidR="009910CD" w:rsidRPr="0005437D" w:rsidRDefault="00FC2690" w:rsidP="0005437D">
      <w:pPr>
        <w:pStyle w:val="BodyText"/>
        <w:spacing w:before="120" w:after="120"/>
        <w:ind w:left="1440"/>
        <w:jc w:val="both"/>
        <w:rPr>
          <w:color w:val="231F20"/>
        </w:rPr>
      </w:pPr>
      <w:r>
        <w:rPr>
          <w:color w:val="231F20"/>
        </w:rPr>
        <w:t>Rule 5:27 requires that brief contained statement of standard of review, argument, and authorities. In this case, party failed to include argument or authorities relating to the trial court’s action in allowing plaintiff to introduce evidence of asbestos exposure</w:t>
      </w:r>
      <w:r w:rsidR="00B64C57">
        <w:rPr>
          <w:color w:val="231F20"/>
        </w:rPr>
        <w:t xml:space="preserve"> </w:t>
      </w:r>
      <w:r>
        <w:rPr>
          <w:color w:val="231F20"/>
        </w:rPr>
        <w:t>from</w:t>
      </w:r>
      <w:r w:rsidR="0005437D">
        <w:rPr>
          <w:color w:val="231F20"/>
        </w:rPr>
        <w:t xml:space="preserve"> </w:t>
      </w:r>
      <w:r>
        <w:rPr>
          <w:color w:val="231F20"/>
        </w:rPr>
        <w:t>gasket removal and therefore this argument is</w:t>
      </w:r>
      <w:r w:rsidR="00B64C57">
        <w:rPr>
          <w:color w:val="231F20"/>
        </w:rPr>
        <w:t xml:space="preserve"> </w:t>
      </w:r>
      <w:r>
        <w:rPr>
          <w:color w:val="231F20"/>
        </w:rPr>
        <w:t>waived.</w:t>
      </w:r>
    </w:p>
    <w:p w14:paraId="70E51306" w14:textId="77777777" w:rsidR="009910CD" w:rsidRDefault="00FC2690" w:rsidP="00AF062B">
      <w:pPr>
        <w:pStyle w:val="Heading4"/>
        <w:numPr>
          <w:ilvl w:val="0"/>
          <w:numId w:val="5"/>
        </w:numPr>
        <w:spacing w:before="95"/>
        <w:ind w:left="1170" w:hanging="450"/>
        <w:jc w:val="left"/>
      </w:pPr>
      <w:r>
        <w:rPr>
          <w:color w:val="231F20"/>
        </w:rPr>
        <w:lastRenderedPageBreak/>
        <w:t>Proffer</w:t>
      </w:r>
    </w:p>
    <w:p w14:paraId="1F17B5B5" w14:textId="77777777" w:rsidR="009910CD" w:rsidRDefault="00FC2690" w:rsidP="00770535">
      <w:pPr>
        <w:spacing w:before="135"/>
        <w:ind w:left="720"/>
      </w:pPr>
      <w:r>
        <w:rPr>
          <w:color w:val="231F20"/>
        </w:rPr>
        <w:t>2012—</w:t>
      </w:r>
      <w:r>
        <w:rPr>
          <w:i/>
          <w:color w:val="231F20"/>
        </w:rPr>
        <w:t>Galumbeck v.</w:t>
      </w:r>
      <w:r w:rsidR="00B64C57">
        <w:rPr>
          <w:i/>
          <w:color w:val="231F20"/>
        </w:rPr>
        <w:t xml:space="preserve"> </w:t>
      </w:r>
      <w:r>
        <w:rPr>
          <w:i/>
          <w:color w:val="231F20"/>
        </w:rPr>
        <w:t>Lopez</w:t>
      </w:r>
      <w:r>
        <w:rPr>
          <w:color w:val="231F20"/>
        </w:rPr>
        <w:t>, 283 Va.</w:t>
      </w:r>
      <w:r w:rsidR="00B64C57">
        <w:rPr>
          <w:color w:val="231F20"/>
        </w:rPr>
        <w:t xml:space="preserve"> </w:t>
      </w:r>
      <w:r>
        <w:rPr>
          <w:color w:val="231F20"/>
        </w:rPr>
        <w:t>500, 722 S.E.2d</w:t>
      </w:r>
      <w:r w:rsidR="00B64C57">
        <w:rPr>
          <w:color w:val="231F20"/>
        </w:rPr>
        <w:t xml:space="preserve"> </w:t>
      </w:r>
      <w:r>
        <w:rPr>
          <w:color w:val="231F20"/>
        </w:rPr>
        <w:t>551.</w:t>
      </w:r>
    </w:p>
    <w:p w14:paraId="715C9233" w14:textId="4A3F64AF" w:rsidR="007C1506" w:rsidRDefault="00FC2690" w:rsidP="00AF062B">
      <w:pPr>
        <w:pStyle w:val="BodyText"/>
        <w:spacing w:before="120" w:after="120"/>
        <w:ind w:left="1440"/>
        <w:jc w:val="both"/>
        <w:rPr>
          <w:color w:val="231F20"/>
        </w:rPr>
      </w:pPr>
      <w:r>
        <w:rPr>
          <w:color w:val="231F20"/>
        </w:rPr>
        <w:t>Only a unilateral avowal of counsel, if unchallenged or a mutual stipulation of the testimony expected constitutes a proper</w:t>
      </w:r>
      <w:r w:rsidR="00B64C57">
        <w:rPr>
          <w:color w:val="231F20"/>
        </w:rPr>
        <w:t xml:space="preserve"> </w:t>
      </w:r>
      <w:r>
        <w:rPr>
          <w:color w:val="231F20"/>
        </w:rPr>
        <w:t>proffer.</w:t>
      </w:r>
    </w:p>
    <w:p w14:paraId="595C533D" w14:textId="667F038D" w:rsidR="009910CD" w:rsidRDefault="00FC2690" w:rsidP="00AF062B">
      <w:pPr>
        <w:pStyle w:val="Heading4"/>
        <w:numPr>
          <w:ilvl w:val="0"/>
          <w:numId w:val="5"/>
        </w:numPr>
        <w:ind w:left="1170" w:hanging="450"/>
        <w:jc w:val="left"/>
      </w:pPr>
      <w:r>
        <w:rPr>
          <w:color w:val="231F20"/>
        </w:rPr>
        <w:t>Record on</w:t>
      </w:r>
      <w:r>
        <w:rPr>
          <w:color w:val="231F20"/>
          <w:spacing w:val="20"/>
        </w:rPr>
        <w:t xml:space="preserve"> </w:t>
      </w:r>
      <w:r>
        <w:rPr>
          <w:color w:val="231F20"/>
        </w:rPr>
        <w:t>Appeal</w:t>
      </w:r>
    </w:p>
    <w:p w14:paraId="45F2387B" w14:textId="77777777" w:rsidR="009910CD" w:rsidRDefault="00FC2690" w:rsidP="00770535">
      <w:pPr>
        <w:spacing w:before="126"/>
        <w:ind w:left="720"/>
      </w:pPr>
      <w:r>
        <w:rPr>
          <w:color w:val="231F20"/>
        </w:rPr>
        <w:t>2010—</w:t>
      </w:r>
      <w:r>
        <w:rPr>
          <w:i/>
          <w:color w:val="231F20"/>
        </w:rPr>
        <w:t>Shapiro v.</w:t>
      </w:r>
      <w:r w:rsidR="00B64C57">
        <w:rPr>
          <w:i/>
          <w:color w:val="231F20"/>
        </w:rPr>
        <w:t xml:space="preserve"> </w:t>
      </w:r>
      <w:r>
        <w:rPr>
          <w:i/>
          <w:color w:val="231F20"/>
        </w:rPr>
        <w:t>Younkin</w:t>
      </w:r>
      <w:r>
        <w:rPr>
          <w:color w:val="231F20"/>
        </w:rPr>
        <w:t>, 279 Va.</w:t>
      </w:r>
      <w:r w:rsidR="00B64C57">
        <w:rPr>
          <w:color w:val="231F20"/>
        </w:rPr>
        <w:t xml:space="preserve"> </w:t>
      </w:r>
      <w:r>
        <w:rPr>
          <w:color w:val="231F20"/>
        </w:rPr>
        <w:t>256, 688 S.E.2d</w:t>
      </w:r>
      <w:r w:rsidR="00B64C57">
        <w:rPr>
          <w:color w:val="231F20"/>
        </w:rPr>
        <w:t xml:space="preserve"> </w:t>
      </w:r>
      <w:r>
        <w:rPr>
          <w:color w:val="231F20"/>
        </w:rPr>
        <w:t>157.</w:t>
      </w:r>
    </w:p>
    <w:p w14:paraId="786DA10B" w14:textId="77777777" w:rsidR="009910CD" w:rsidRPr="0005437D" w:rsidRDefault="00FC2690" w:rsidP="0005437D">
      <w:pPr>
        <w:pStyle w:val="BodyText"/>
        <w:spacing w:before="120" w:after="120"/>
        <w:ind w:left="1440"/>
        <w:jc w:val="both"/>
        <w:rPr>
          <w:color w:val="231F20"/>
        </w:rPr>
      </w:pPr>
      <w:r>
        <w:rPr>
          <w:color w:val="231F20"/>
        </w:rPr>
        <w:t>Trial court improperly dismissed case because plaintiff did not have court</w:t>
      </w:r>
      <w:r w:rsidRPr="0005437D">
        <w:rPr>
          <w:color w:val="231F20"/>
        </w:rPr>
        <w:t xml:space="preserve"> </w:t>
      </w:r>
      <w:r>
        <w:rPr>
          <w:color w:val="231F20"/>
        </w:rPr>
        <w:t>reporter</w:t>
      </w:r>
      <w:r w:rsidRPr="0005437D">
        <w:rPr>
          <w:color w:val="231F20"/>
        </w:rPr>
        <w:t xml:space="preserve"> </w:t>
      </w:r>
      <w:r>
        <w:rPr>
          <w:color w:val="231F20"/>
        </w:rPr>
        <w:t>present</w:t>
      </w:r>
      <w:r w:rsidRPr="0005437D">
        <w:rPr>
          <w:color w:val="231F20"/>
        </w:rPr>
        <w:t xml:space="preserve"> </w:t>
      </w:r>
      <w:r>
        <w:rPr>
          <w:color w:val="231F20"/>
        </w:rPr>
        <w:t>in</w:t>
      </w:r>
      <w:r w:rsidRPr="0005437D">
        <w:rPr>
          <w:color w:val="231F20"/>
        </w:rPr>
        <w:t xml:space="preserve"> </w:t>
      </w:r>
      <w:r>
        <w:rPr>
          <w:color w:val="231F20"/>
        </w:rPr>
        <w:t>contravention</w:t>
      </w:r>
      <w:r w:rsidRPr="0005437D">
        <w:rPr>
          <w:color w:val="231F20"/>
        </w:rPr>
        <w:t xml:space="preserve"> </w:t>
      </w:r>
      <w:r>
        <w:rPr>
          <w:color w:val="231F20"/>
        </w:rPr>
        <w:t>of</w:t>
      </w:r>
      <w:r w:rsidRPr="0005437D">
        <w:rPr>
          <w:color w:val="231F20"/>
        </w:rPr>
        <w:t xml:space="preserve"> </w:t>
      </w:r>
      <w:r>
        <w:rPr>
          <w:color w:val="231F20"/>
        </w:rPr>
        <w:t>local</w:t>
      </w:r>
      <w:r w:rsidRPr="0005437D">
        <w:rPr>
          <w:color w:val="231F20"/>
        </w:rPr>
        <w:t xml:space="preserve"> </w:t>
      </w:r>
      <w:r>
        <w:rPr>
          <w:color w:val="231F20"/>
        </w:rPr>
        <w:t>rule.</w:t>
      </w:r>
      <w:r w:rsidRPr="0005437D">
        <w:rPr>
          <w:color w:val="231F20"/>
        </w:rPr>
        <w:t xml:space="preserve"> </w:t>
      </w:r>
      <w:r>
        <w:rPr>
          <w:color w:val="231F20"/>
        </w:rPr>
        <w:t>In</w:t>
      </w:r>
      <w:r w:rsidRPr="0005437D">
        <w:rPr>
          <w:color w:val="231F20"/>
        </w:rPr>
        <w:t xml:space="preserve"> </w:t>
      </w:r>
      <w:r>
        <w:rPr>
          <w:color w:val="231F20"/>
        </w:rPr>
        <w:t>addition,</w:t>
      </w:r>
      <w:r w:rsidRPr="0005437D">
        <w:rPr>
          <w:color w:val="231F20"/>
        </w:rPr>
        <w:t xml:space="preserve"> </w:t>
      </w:r>
      <w:r>
        <w:rPr>
          <w:color w:val="231F20"/>
        </w:rPr>
        <w:t>trial court must make an affirmative attempt to create a record for appellate</w:t>
      </w:r>
      <w:r w:rsidRPr="0005437D">
        <w:rPr>
          <w:color w:val="231F20"/>
        </w:rPr>
        <w:t xml:space="preserve"> </w:t>
      </w:r>
      <w:r>
        <w:rPr>
          <w:color w:val="231F20"/>
        </w:rPr>
        <w:t>review</w:t>
      </w:r>
      <w:r w:rsidRPr="0005437D">
        <w:rPr>
          <w:color w:val="231F20"/>
        </w:rPr>
        <w:t xml:space="preserve"> </w:t>
      </w:r>
      <w:r>
        <w:rPr>
          <w:color w:val="231F20"/>
        </w:rPr>
        <w:t>that</w:t>
      </w:r>
      <w:r w:rsidRPr="0005437D">
        <w:rPr>
          <w:color w:val="231F20"/>
        </w:rPr>
        <w:t xml:space="preserve"> </w:t>
      </w:r>
      <w:r>
        <w:rPr>
          <w:color w:val="231F20"/>
        </w:rPr>
        <w:t>contains</w:t>
      </w:r>
      <w:r w:rsidRPr="0005437D">
        <w:rPr>
          <w:color w:val="231F20"/>
        </w:rPr>
        <w:t xml:space="preserve"> </w:t>
      </w:r>
      <w:r>
        <w:rPr>
          <w:color w:val="231F20"/>
        </w:rPr>
        <w:t>a</w:t>
      </w:r>
      <w:r w:rsidRPr="0005437D">
        <w:rPr>
          <w:color w:val="231F20"/>
        </w:rPr>
        <w:t xml:space="preserve"> </w:t>
      </w:r>
      <w:r>
        <w:rPr>
          <w:color w:val="231F20"/>
        </w:rPr>
        <w:t>fair</w:t>
      </w:r>
      <w:r w:rsidRPr="0005437D">
        <w:rPr>
          <w:color w:val="231F20"/>
        </w:rPr>
        <w:t xml:space="preserve"> </w:t>
      </w:r>
      <w:r>
        <w:rPr>
          <w:color w:val="231F20"/>
        </w:rPr>
        <w:t>statement</w:t>
      </w:r>
      <w:r w:rsidRPr="0005437D">
        <w:rPr>
          <w:color w:val="231F20"/>
        </w:rPr>
        <w:t xml:space="preserve"> </w:t>
      </w:r>
      <w:r>
        <w:rPr>
          <w:color w:val="231F20"/>
        </w:rPr>
        <w:t>of</w:t>
      </w:r>
      <w:r w:rsidRPr="0005437D">
        <w:rPr>
          <w:color w:val="231F20"/>
        </w:rPr>
        <w:t xml:space="preserve"> </w:t>
      </w:r>
      <w:r>
        <w:rPr>
          <w:color w:val="231F20"/>
        </w:rPr>
        <w:t>the</w:t>
      </w:r>
      <w:r w:rsidRPr="0005437D">
        <w:rPr>
          <w:color w:val="231F20"/>
        </w:rPr>
        <w:t xml:space="preserve"> </w:t>
      </w:r>
      <w:r>
        <w:rPr>
          <w:color w:val="231F20"/>
        </w:rPr>
        <w:t>facts</w:t>
      </w:r>
      <w:r w:rsidRPr="0005437D">
        <w:rPr>
          <w:color w:val="231F20"/>
        </w:rPr>
        <w:t xml:space="preserve"> </w:t>
      </w:r>
      <w:r>
        <w:rPr>
          <w:color w:val="231F20"/>
        </w:rPr>
        <w:t>by</w:t>
      </w:r>
      <w:r w:rsidRPr="0005437D">
        <w:rPr>
          <w:color w:val="231F20"/>
        </w:rPr>
        <w:t xml:space="preserve"> </w:t>
      </w:r>
      <w:r>
        <w:rPr>
          <w:color w:val="231F20"/>
        </w:rPr>
        <w:t xml:space="preserve">making reasonable additions, deletions, or </w:t>
      </w:r>
      <w:r w:rsidR="00AB18B1">
        <w:rPr>
          <w:color w:val="231F20"/>
        </w:rPr>
        <w:t>changes to the proffered state</w:t>
      </w:r>
      <w:r>
        <w:rPr>
          <w:color w:val="231F20"/>
        </w:rPr>
        <w:t>ment of</w:t>
      </w:r>
      <w:r w:rsidRPr="0005437D">
        <w:rPr>
          <w:color w:val="231F20"/>
        </w:rPr>
        <w:t xml:space="preserve"> </w:t>
      </w:r>
      <w:r>
        <w:rPr>
          <w:color w:val="231F20"/>
        </w:rPr>
        <w:t>facts.</w:t>
      </w:r>
    </w:p>
    <w:p w14:paraId="20C82573" w14:textId="77777777" w:rsidR="009910CD" w:rsidRDefault="00FC2690" w:rsidP="00AF062B">
      <w:pPr>
        <w:pStyle w:val="Heading4"/>
        <w:tabs>
          <w:tab w:val="left" w:pos="2041"/>
        </w:tabs>
        <w:spacing w:before="79"/>
        <w:ind w:left="1170" w:hanging="450"/>
        <w:rPr>
          <w:color w:val="231F20"/>
        </w:rPr>
      </w:pPr>
      <w:r>
        <w:rPr>
          <w:color w:val="231F20"/>
        </w:rPr>
        <w:t>[9]</w:t>
      </w:r>
      <w:r>
        <w:rPr>
          <w:color w:val="231F20"/>
        </w:rPr>
        <w:tab/>
        <w:t>Standard of</w:t>
      </w:r>
      <w:r>
        <w:rPr>
          <w:color w:val="231F20"/>
          <w:spacing w:val="32"/>
        </w:rPr>
        <w:t xml:space="preserve"> </w:t>
      </w:r>
      <w:r>
        <w:rPr>
          <w:color w:val="231F20"/>
        </w:rPr>
        <w:t>Review</w:t>
      </w:r>
    </w:p>
    <w:p w14:paraId="1EB84A04" w14:textId="77777777" w:rsidR="00A00177" w:rsidRDefault="00A00177" w:rsidP="00A00177">
      <w:pPr>
        <w:spacing w:before="126"/>
        <w:ind w:left="720"/>
        <w:rPr>
          <w:color w:val="231F20"/>
        </w:rPr>
      </w:pPr>
      <w:r>
        <w:rPr>
          <w:color w:val="231F20"/>
        </w:rPr>
        <w:t>2023—</w:t>
      </w:r>
      <w:r>
        <w:rPr>
          <w:i/>
          <w:iCs/>
          <w:color w:val="231F20"/>
        </w:rPr>
        <w:t>Nester v. Scarabelli.</w:t>
      </w:r>
      <w:r>
        <w:rPr>
          <w:color w:val="231F20"/>
        </w:rPr>
        <w:t>, 77 Va. App. 440, 886 S.E.2d 301.</w:t>
      </w:r>
    </w:p>
    <w:p w14:paraId="1EFC3D18" w14:textId="498E6FB6" w:rsidR="00A00177" w:rsidRDefault="00D239F9" w:rsidP="00A00177">
      <w:pPr>
        <w:spacing w:before="126"/>
        <w:ind w:left="1440"/>
        <w:jc w:val="both"/>
        <w:rPr>
          <w:color w:val="231F20"/>
        </w:rPr>
      </w:pPr>
      <w:r>
        <w:rPr>
          <w:color w:val="231F20"/>
        </w:rPr>
        <w:t xml:space="preserve">Court may abuse its discretion by ignoring relevant factor that should have been given significant weight, giving significant weight to irrelevant or improper factor and committing a clear error of law. </w:t>
      </w:r>
      <w:r w:rsidR="00A00177">
        <w:rPr>
          <w:color w:val="231F20"/>
        </w:rPr>
        <w:t xml:space="preserve">  </w:t>
      </w:r>
    </w:p>
    <w:p w14:paraId="7BE81D9B" w14:textId="732ACF7C" w:rsidR="00D23EC8" w:rsidRDefault="00D23EC8" w:rsidP="00D23EC8">
      <w:pPr>
        <w:spacing w:before="126"/>
        <w:ind w:left="720"/>
      </w:pPr>
      <w:r>
        <w:rPr>
          <w:color w:val="231F20"/>
        </w:rPr>
        <w:t>2011—</w:t>
      </w:r>
      <w:r>
        <w:rPr>
          <w:i/>
          <w:color w:val="231F20"/>
        </w:rPr>
        <w:t xml:space="preserve">Dunn, McCormack &amp; MacPherson v. Connolly, </w:t>
      </w:r>
      <w:r>
        <w:rPr>
          <w:color w:val="231F20"/>
        </w:rPr>
        <w:t>281 Va. 553, 708 S.E.2d 867.</w:t>
      </w:r>
    </w:p>
    <w:p w14:paraId="12C4C4CA" w14:textId="77777777" w:rsidR="00D23EC8" w:rsidRDefault="00D23EC8" w:rsidP="00D23EC8">
      <w:pPr>
        <w:pStyle w:val="BodyText"/>
        <w:spacing w:before="120" w:after="120"/>
        <w:ind w:left="1440"/>
        <w:jc w:val="both"/>
        <w:rPr>
          <w:color w:val="231F20"/>
        </w:rPr>
      </w:pPr>
      <w:r>
        <w:rPr>
          <w:color w:val="231F20"/>
        </w:rPr>
        <w:t xml:space="preserve">The standard of review for a demurrer is </w:t>
      </w:r>
      <w:r w:rsidRPr="001D036D">
        <w:rPr>
          <w:i/>
          <w:iCs/>
          <w:color w:val="231F20"/>
        </w:rPr>
        <w:t>de novo</w:t>
      </w:r>
      <w:r>
        <w:rPr>
          <w:color w:val="231F20"/>
        </w:rPr>
        <w:t>.</w:t>
      </w:r>
    </w:p>
    <w:p w14:paraId="21BE2811" w14:textId="77777777" w:rsidR="009910CD" w:rsidRDefault="00FC2690" w:rsidP="00770535">
      <w:pPr>
        <w:spacing w:before="126"/>
        <w:ind w:left="720"/>
      </w:pPr>
      <w:r>
        <w:rPr>
          <w:color w:val="231F20"/>
        </w:rPr>
        <w:t>2010—</w:t>
      </w:r>
      <w:r>
        <w:rPr>
          <w:i/>
          <w:color w:val="231F20"/>
        </w:rPr>
        <w:t>Hawthorne v.</w:t>
      </w:r>
      <w:r w:rsidR="00B64C57">
        <w:rPr>
          <w:i/>
          <w:color w:val="231F20"/>
        </w:rPr>
        <w:t xml:space="preserve"> </w:t>
      </w:r>
      <w:r>
        <w:rPr>
          <w:i/>
          <w:color w:val="231F20"/>
        </w:rPr>
        <w:t>VanMarter</w:t>
      </w:r>
      <w:r>
        <w:rPr>
          <w:color w:val="231F20"/>
        </w:rPr>
        <w:t>, 279 Va.</w:t>
      </w:r>
      <w:r w:rsidR="00B64C57">
        <w:rPr>
          <w:color w:val="231F20"/>
        </w:rPr>
        <w:t xml:space="preserve"> </w:t>
      </w:r>
      <w:r>
        <w:rPr>
          <w:color w:val="231F20"/>
        </w:rPr>
        <w:t>566, 692 S.E.2d</w:t>
      </w:r>
      <w:r w:rsidR="00B64C57">
        <w:rPr>
          <w:color w:val="231F20"/>
        </w:rPr>
        <w:t xml:space="preserve"> </w:t>
      </w:r>
      <w:r>
        <w:rPr>
          <w:color w:val="231F20"/>
        </w:rPr>
        <w:t>226.</w:t>
      </w:r>
    </w:p>
    <w:p w14:paraId="1713CDE0" w14:textId="77777777" w:rsidR="009910CD" w:rsidRDefault="00FC2690" w:rsidP="0005437D">
      <w:pPr>
        <w:pStyle w:val="BodyText"/>
        <w:spacing w:before="120" w:after="120"/>
        <w:ind w:left="1440"/>
        <w:jc w:val="both"/>
        <w:rPr>
          <w:color w:val="231F20"/>
        </w:rPr>
      </w:pPr>
      <w:r>
        <w:rPr>
          <w:color w:val="231F20"/>
        </w:rPr>
        <w:t>Whether jury instruction accurately states the relevant law is a question of law and is reviewed de</w:t>
      </w:r>
      <w:r w:rsidR="00B64C57">
        <w:rPr>
          <w:color w:val="231F20"/>
        </w:rPr>
        <w:t xml:space="preserve"> </w:t>
      </w:r>
      <w:r>
        <w:rPr>
          <w:color w:val="231F20"/>
        </w:rPr>
        <w:t>novo.</w:t>
      </w:r>
    </w:p>
    <w:p w14:paraId="6DCDB89A" w14:textId="77777777" w:rsidR="00323A76" w:rsidRDefault="00323A76"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18.05</w:t>
      </w:r>
      <w:r>
        <w:rPr>
          <w:color w:val="231F20"/>
        </w:rPr>
        <w:tab/>
        <w:t>Assignments</w:t>
      </w:r>
    </w:p>
    <w:p w14:paraId="082FEEEC" w14:textId="3D750FD4" w:rsidR="00323A76" w:rsidRDefault="00323A76" w:rsidP="00770535">
      <w:pPr>
        <w:spacing w:before="125"/>
        <w:ind w:left="720"/>
      </w:pPr>
      <w:r>
        <w:rPr>
          <w:color w:val="231F20"/>
        </w:rPr>
        <w:t>2017—</w:t>
      </w:r>
      <w:r>
        <w:rPr>
          <w:i/>
          <w:color w:val="231F20"/>
        </w:rPr>
        <w:t>Erie Insurance Co</w:t>
      </w:r>
      <w:r w:rsidR="001D036D">
        <w:rPr>
          <w:i/>
          <w:color w:val="231F20"/>
        </w:rPr>
        <w:t>.</w:t>
      </w:r>
      <w:r>
        <w:rPr>
          <w:i/>
          <w:color w:val="231F20"/>
        </w:rPr>
        <w:t xml:space="preserve"> v. McKinley Chiropractic Center, P.C.</w:t>
      </w:r>
      <w:r>
        <w:rPr>
          <w:color w:val="231F20"/>
        </w:rPr>
        <w:t>, 294 Va. 138, 803 S.E.2d 741.</w:t>
      </w:r>
    </w:p>
    <w:p w14:paraId="31ED9AB1" w14:textId="77777777" w:rsidR="00323A76" w:rsidRPr="0005437D" w:rsidRDefault="00323A76" w:rsidP="0005437D">
      <w:pPr>
        <w:pStyle w:val="BodyText"/>
        <w:spacing w:before="120" w:after="120"/>
        <w:ind w:left="1440"/>
        <w:jc w:val="both"/>
        <w:rPr>
          <w:color w:val="231F20"/>
        </w:rPr>
      </w:pPr>
      <w:r>
        <w:rPr>
          <w:color w:val="231F20"/>
        </w:rPr>
        <w:t xml:space="preserve">Plaintiff assigned personal injury claim to chiropractor but then failed to </w:t>
      </w:r>
      <w:r w:rsidR="0094085C">
        <w:rPr>
          <w:color w:val="231F20"/>
        </w:rPr>
        <w:t>pay chiropractor out of settlement proceeds</w:t>
      </w:r>
      <w:r>
        <w:rPr>
          <w:color w:val="231F20"/>
        </w:rPr>
        <w:t>.</w:t>
      </w:r>
      <w:r w:rsidR="0094085C">
        <w:rPr>
          <w:color w:val="231F20"/>
        </w:rPr>
        <w:t xml:space="preserve">  Chiropractor then sued insurance carrier.  Plaintiff had no right to sue Erie and likewise chiropractor had no right to sue Erie.  </w:t>
      </w:r>
    </w:p>
    <w:p w14:paraId="035452AB" w14:textId="77777777" w:rsidR="00F64D07" w:rsidRDefault="00F64D07"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18.06</w:t>
      </w:r>
      <w:r>
        <w:rPr>
          <w:color w:val="231F20"/>
        </w:rPr>
        <w:tab/>
        <w:t>Attorneys</w:t>
      </w:r>
    </w:p>
    <w:p w14:paraId="54F41FD8" w14:textId="77777777" w:rsidR="00474E8A" w:rsidRDefault="00474E8A" w:rsidP="00770535">
      <w:pPr>
        <w:spacing w:before="125"/>
        <w:ind w:left="720"/>
      </w:pPr>
      <w:r>
        <w:rPr>
          <w:color w:val="231F20"/>
        </w:rPr>
        <w:t>2017—</w:t>
      </w:r>
      <w:r>
        <w:rPr>
          <w:i/>
          <w:color w:val="231F20"/>
        </w:rPr>
        <w:t>West Lake Legal Group v. Flynn</w:t>
      </w:r>
      <w:r>
        <w:rPr>
          <w:color w:val="231F20"/>
        </w:rPr>
        <w:t>, 29</w:t>
      </w:r>
      <w:r w:rsidR="0083791E">
        <w:rPr>
          <w:color w:val="231F20"/>
        </w:rPr>
        <w:t>3</w:t>
      </w:r>
      <w:r>
        <w:rPr>
          <w:color w:val="231F20"/>
        </w:rPr>
        <w:t xml:space="preserve"> Va. </w:t>
      </w:r>
      <w:r w:rsidR="0083791E">
        <w:rPr>
          <w:color w:val="231F20"/>
        </w:rPr>
        <w:t>344</w:t>
      </w:r>
      <w:r>
        <w:rPr>
          <w:color w:val="231F20"/>
        </w:rPr>
        <w:t>, 7</w:t>
      </w:r>
      <w:r w:rsidR="00AC0E62">
        <w:rPr>
          <w:color w:val="231F20"/>
        </w:rPr>
        <w:t>98</w:t>
      </w:r>
      <w:r>
        <w:rPr>
          <w:color w:val="231F20"/>
        </w:rPr>
        <w:t xml:space="preserve"> S.E.2d </w:t>
      </w:r>
      <w:r w:rsidR="00AC0E62">
        <w:rPr>
          <w:color w:val="231F20"/>
        </w:rPr>
        <w:t>187</w:t>
      </w:r>
      <w:r>
        <w:rPr>
          <w:color w:val="231F20"/>
        </w:rPr>
        <w:t>.</w:t>
      </w:r>
    </w:p>
    <w:p w14:paraId="34768461" w14:textId="77777777" w:rsidR="00474E8A" w:rsidRPr="0005437D" w:rsidRDefault="00AC0E62" w:rsidP="0005437D">
      <w:pPr>
        <w:pStyle w:val="BodyText"/>
        <w:spacing w:before="120" w:after="120"/>
        <w:ind w:left="1440"/>
        <w:jc w:val="both"/>
        <w:rPr>
          <w:color w:val="231F20"/>
        </w:rPr>
      </w:pPr>
      <w:r>
        <w:rPr>
          <w:color w:val="231F20"/>
        </w:rPr>
        <w:t xml:space="preserve">Sanctions properly awarded against attorney for attempting to collect fees and costs from the client based upon a judgment that the attorney should have known </w:t>
      </w:r>
      <w:r w:rsidR="00FF32D1">
        <w:rPr>
          <w:color w:val="231F20"/>
        </w:rPr>
        <w:t>w</w:t>
      </w:r>
      <w:r>
        <w:rPr>
          <w:color w:val="231F20"/>
        </w:rPr>
        <w:t xml:space="preserve">as void.  </w:t>
      </w:r>
    </w:p>
    <w:p w14:paraId="41C13EBA" w14:textId="77777777" w:rsidR="00546397" w:rsidRDefault="00546397" w:rsidP="00770535">
      <w:pPr>
        <w:spacing w:before="125"/>
        <w:ind w:left="720"/>
      </w:pPr>
      <w:r>
        <w:rPr>
          <w:color w:val="231F20"/>
        </w:rPr>
        <w:t>2016—</w:t>
      </w:r>
      <w:r>
        <w:rPr>
          <w:i/>
          <w:color w:val="231F20"/>
        </w:rPr>
        <w:t>Ragland v. Soggin</w:t>
      </w:r>
      <w:r>
        <w:rPr>
          <w:color w:val="231F20"/>
        </w:rPr>
        <w:t>, 291 Va. 282, 784 S.E.2d 698.</w:t>
      </w:r>
    </w:p>
    <w:p w14:paraId="2D9035F8" w14:textId="12B24F6E" w:rsidR="00546397" w:rsidRPr="0005437D" w:rsidRDefault="00546397" w:rsidP="0005437D">
      <w:pPr>
        <w:pStyle w:val="BodyText"/>
        <w:spacing w:before="120" w:after="120"/>
        <w:ind w:left="1440"/>
        <w:jc w:val="both"/>
        <w:rPr>
          <w:color w:val="231F20"/>
        </w:rPr>
      </w:pPr>
      <w:r>
        <w:rPr>
          <w:color w:val="231F20"/>
        </w:rPr>
        <w:t xml:space="preserve">Trial court awarded sanctions in regards to submission of jury instructions.  There is nothing in </w:t>
      </w:r>
      <w:r w:rsidR="002F24E0">
        <w:rPr>
          <w:color w:val="231F20"/>
        </w:rPr>
        <w:t xml:space="preserve">Va. </w:t>
      </w:r>
      <w:r>
        <w:rPr>
          <w:color w:val="231F20"/>
        </w:rPr>
        <w:t>Code § 8.01</w:t>
      </w:r>
      <w:r w:rsidR="006C1434">
        <w:rPr>
          <w:color w:val="231F20"/>
        </w:rPr>
        <w:t>-271.1 that allows for award of sanctions based upon inadvertent mistake of counsel.</w:t>
      </w:r>
    </w:p>
    <w:p w14:paraId="1073411D" w14:textId="77777777" w:rsidR="00F64D07" w:rsidRDefault="00F64D07" w:rsidP="008F298C">
      <w:pPr>
        <w:spacing w:before="125"/>
        <w:ind w:left="720"/>
        <w:jc w:val="both"/>
      </w:pPr>
      <w:r>
        <w:rPr>
          <w:color w:val="231F20"/>
        </w:rPr>
        <w:t>201</w:t>
      </w:r>
      <w:r w:rsidR="00482707">
        <w:rPr>
          <w:color w:val="231F20"/>
        </w:rPr>
        <w:t>6</w:t>
      </w:r>
      <w:r>
        <w:rPr>
          <w:color w:val="231F20"/>
        </w:rPr>
        <w:t>—</w:t>
      </w:r>
      <w:r w:rsidR="00482707">
        <w:rPr>
          <w:i/>
          <w:color w:val="231F20"/>
        </w:rPr>
        <w:t>Environment Specialists, Inc. v. Wells Fargo Bank Northeast, N.A.</w:t>
      </w:r>
      <w:r>
        <w:rPr>
          <w:color w:val="231F20"/>
        </w:rPr>
        <w:t xml:space="preserve">, </w:t>
      </w:r>
      <w:r w:rsidR="00482707">
        <w:rPr>
          <w:color w:val="231F20"/>
        </w:rPr>
        <w:t>291</w:t>
      </w:r>
      <w:r>
        <w:rPr>
          <w:color w:val="231F20"/>
        </w:rPr>
        <w:t xml:space="preserve"> Va.</w:t>
      </w:r>
      <w:r w:rsidR="00482707">
        <w:rPr>
          <w:color w:val="231F20"/>
        </w:rPr>
        <w:t> 111</w:t>
      </w:r>
      <w:r>
        <w:rPr>
          <w:color w:val="231F20"/>
        </w:rPr>
        <w:t>, 7</w:t>
      </w:r>
      <w:r w:rsidR="00482707">
        <w:rPr>
          <w:color w:val="231F20"/>
        </w:rPr>
        <w:t>82</w:t>
      </w:r>
      <w:r>
        <w:rPr>
          <w:color w:val="231F20"/>
        </w:rPr>
        <w:t xml:space="preserve"> S.E.2d </w:t>
      </w:r>
      <w:r w:rsidR="00482707">
        <w:rPr>
          <w:color w:val="231F20"/>
        </w:rPr>
        <w:t>147</w:t>
      </w:r>
      <w:r>
        <w:rPr>
          <w:color w:val="231F20"/>
        </w:rPr>
        <w:t>.</w:t>
      </w:r>
    </w:p>
    <w:p w14:paraId="3095BD18" w14:textId="77777777" w:rsidR="00F64D07" w:rsidRPr="0005437D" w:rsidRDefault="00482707" w:rsidP="0005437D">
      <w:pPr>
        <w:pStyle w:val="BodyText"/>
        <w:spacing w:before="120" w:after="120"/>
        <w:ind w:left="1440"/>
        <w:jc w:val="both"/>
        <w:rPr>
          <w:color w:val="231F20"/>
        </w:rPr>
      </w:pPr>
      <w:r>
        <w:rPr>
          <w:color w:val="231F20"/>
        </w:rPr>
        <w:t>Court can award sanctions against counsel under 8.01-271.1 or court’s inherent power.</w:t>
      </w:r>
      <w:r w:rsidR="001D6B3F">
        <w:rPr>
          <w:color w:val="231F20"/>
        </w:rPr>
        <w:t xml:space="preserve">  The court in this instance did not utilize either one </w:t>
      </w:r>
      <w:proofErr w:type="gramStart"/>
      <w:r w:rsidR="001D6B3F">
        <w:rPr>
          <w:color w:val="231F20"/>
        </w:rPr>
        <w:t>and</w:t>
      </w:r>
      <w:proofErr w:type="gramEnd"/>
      <w:r w:rsidR="001D6B3F">
        <w:rPr>
          <w:color w:val="231F20"/>
        </w:rPr>
        <w:t xml:space="preserve"> as such the award is reversed.</w:t>
      </w:r>
    </w:p>
    <w:p w14:paraId="774A5B3E" w14:textId="77777777" w:rsidR="007C1506" w:rsidRDefault="007C1506">
      <w:pPr>
        <w:rPr>
          <w:b/>
          <w:bCs/>
          <w:color w:val="231F20"/>
        </w:rPr>
      </w:pPr>
      <w:r>
        <w:rPr>
          <w:color w:val="231F20"/>
        </w:rPr>
        <w:br w:type="page"/>
      </w:r>
    </w:p>
    <w:p w14:paraId="7B840719" w14:textId="7D065727" w:rsidR="009910CD" w:rsidRPr="00ED1338" w:rsidRDefault="00FC2690" w:rsidP="00ED1338">
      <w:pPr>
        <w:pStyle w:val="Heading4"/>
        <w:tabs>
          <w:tab w:val="left" w:pos="720"/>
        </w:tabs>
        <w:spacing w:before="0" w:line="241" w:lineRule="exact"/>
        <w:ind w:left="0"/>
        <w:rPr>
          <w:color w:val="231F20"/>
        </w:rPr>
      </w:pPr>
      <w:r>
        <w:rPr>
          <w:color w:val="231F20"/>
        </w:rPr>
        <w:lastRenderedPageBreak/>
        <w:t>§</w:t>
      </w:r>
      <w:r w:rsidRPr="00ED1338">
        <w:rPr>
          <w:color w:val="231F20"/>
        </w:rPr>
        <w:t xml:space="preserve"> </w:t>
      </w:r>
      <w:r>
        <w:rPr>
          <w:color w:val="231F20"/>
        </w:rPr>
        <w:t>18.07</w:t>
      </w:r>
      <w:r>
        <w:rPr>
          <w:color w:val="231F20"/>
        </w:rPr>
        <w:tab/>
        <w:t>Closing and Opening</w:t>
      </w:r>
      <w:r w:rsidRPr="00ED1338">
        <w:rPr>
          <w:color w:val="231F20"/>
        </w:rPr>
        <w:t xml:space="preserve"> </w:t>
      </w:r>
      <w:r>
        <w:rPr>
          <w:color w:val="231F20"/>
        </w:rPr>
        <w:t>Statements</w:t>
      </w:r>
    </w:p>
    <w:p w14:paraId="131151EE" w14:textId="77777777" w:rsidR="009910CD" w:rsidRDefault="00FC2690" w:rsidP="00AF062B">
      <w:pPr>
        <w:tabs>
          <w:tab w:val="left" w:pos="2041"/>
        </w:tabs>
        <w:spacing w:before="85"/>
        <w:ind w:left="1170" w:hanging="450"/>
        <w:rPr>
          <w:b/>
        </w:rPr>
      </w:pPr>
      <w:r>
        <w:rPr>
          <w:b/>
          <w:color w:val="231F20"/>
        </w:rPr>
        <w:t>[2]</w:t>
      </w:r>
      <w:r>
        <w:rPr>
          <w:b/>
          <w:color w:val="231F20"/>
        </w:rPr>
        <w:tab/>
        <w:t>Formula for</w:t>
      </w:r>
      <w:r>
        <w:rPr>
          <w:b/>
          <w:color w:val="231F20"/>
          <w:spacing w:val="27"/>
        </w:rPr>
        <w:t xml:space="preserve"> </w:t>
      </w:r>
      <w:r>
        <w:rPr>
          <w:b/>
          <w:color w:val="231F20"/>
        </w:rPr>
        <w:t>Damages</w:t>
      </w:r>
    </w:p>
    <w:p w14:paraId="1A80D714" w14:textId="77777777" w:rsidR="009910CD" w:rsidRDefault="00FC2690" w:rsidP="00770535">
      <w:pPr>
        <w:spacing w:before="125"/>
        <w:ind w:left="720"/>
      </w:pPr>
      <w:r>
        <w:rPr>
          <w:color w:val="231F20"/>
        </w:rPr>
        <w:t>2012—</w:t>
      </w:r>
      <w:r>
        <w:rPr>
          <w:i/>
          <w:color w:val="231F20"/>
        </w:rPr>
        <w:t>Wakole v.</w:t>
      </w:r>
      <w:r w:rsidR="00B64C57">
        <w:rPr>
          <w:i/>
          <w:color w:val="231F20"/>
        </w:rPr>
        <w:t xml:space="preserve"> </w:t>
      </w:r>
      <w:r>
        <w:rPr>
          <w:i/>
          <w:color w:val="231F20"/>
        </w:rPr>
        <w:t>Barber</w:t>
      </w:r>
      <w:r>
        <w:rPr>
          <w:color w:val="231F20"/>
        </w:rPr>
        <w:t>, 283 Va.</w:t>
      </w:r>
      <w:r w:rsidR="00B64C57">
        <w:rPr>
          <w:color w:val="231F20"/>
        </w:rPr>
        <w:t xml:space="preserve"> </w:t>
      </w:r>
      <w:r>
        <w:rPr>
          <w:color w:val="231F20"/>
        </w:rPr>
        <w:t>488, 722 S.E.2d 238.</w:t>
      </w:r>
    </w:p>
    <w:p w14:paraId="5BC7D5E8" w14:textId="77777777" w:rsidR="009910CD" w:rsidRDefault="00FC2690" w:rsidP="0005437D">
      <w:pPr>
        <w:pStyle w:val="BodyText"/>
        <w:spacing w:before="120" w:after="120"/>
        <w:ind w:left="1440"/>
        <w:jc w:val="both"/>
        <w:rPr>
          <w:color w:val="231F20"/>
        </w:rPr>
      </w:pPr>
      <w:r>
        <w:rPr>
          <w:color w:val="231F20"/>
        </w:rPr>
        <w:t>Proper for plaintiff to ascribe fixed numerical value to each item of damage for which there is proof in this personal injury</w:t>
      </w:r>
      <w:r w:rsidR="00B64C57">
        <w:rPr>
          <w:color w:val="231F20"/>
        </w:rPr>
        <w:t xml:space="preserve"> </w:t>
      </w:r>
      <w:r>
        <w:rPr>
          <w:color w:val="231F20"/>
        </w:rPr>
        <w:t>action.</w:t>
      </w:r>
    </w:p>
    <w:p w14:paraId="1C66159A" w14:textId="77777777" w:rsidR="009910CD" w:rsidRDefault="00FC2690" w:rsidP="00AF062B">
      <w:pPr>
        <w:pStyle w:val="Heading4"/>
        <w:tabs>
          <w:tab w:val="left" w:pos="2041"/>
        </w:tabs>
        <w:spacing w:before="79"/>
        <w:ind w:left="1170" w:hanging="450"/>
      </w:pPr>
      <w:r>
        <w:rPr>
          <w:color w:val="231F20"/>
        </w:rPr>
        <w:t>[5]</w:t>
      </w:r>
      <w:r>
        <w:rPr>
          <w:color w:val="231F20"/>
        </w:rPr>
        <w:tab/>
        <w:t>Objections</w:t>
      </w:r>
    </w:p>
    <w:p w14:paraId="13577324" w14:textId="77777777" w:rsidR="009910CD" w:rsidRDefault="00FC2690" w:rsidP="008A7D72">
      <w:pPr>
        <w:spacing w:before="126" w:line="246" w:lineRule="exact"/>
        <w:ind w:left="720"/>
      </w:pPr>
      <w:r>
        <w:rPr>
          <w:color w:val="231F20"/>
        </w:rPr>
        <w:t>2014—</w:t>
      </w:r>
      <w:r>
        <w:rPr>
          <w:i/>
          <w:color w:val="231F20"/>
        </w:rPr>
        <w:t>Harman v.</w:t>
      </w:r>
      <w:r w:rsidR="00B64C57">
        <w:rPr>
          <w:i/>
          <w:color w:val="231F20"/>
        </w:rPr>
        <w:t xml:space="preserve"> </w:t>
      </w:r>
      <w:r>
        <w:rPr>
          <w:i/>
          <w:color w:val="231F20"/>
        </w:rPr>
        <w:t>Honeywell International, Inc.</w:t>
      </w:r>
      <w:r>
        <w:rPr>
          <w:color w:val="231F20"/>
        </w:rPr>
        <w:t>, 288 Va.</w:t>
      </w:r>
      <w:r w:rsidR="00B64C57">
        <w:rPr>
          <w:color w:val="231F20"/>
        </w:rPr>
        <w:t xml:space="preserve"> </w:t>
      </w:r>
      <w:r>
        <w:rPr>
          <w:color w:val="231F20"/>
        </w:rPr>
        <w:t>84, 94,</w:t>
      </w:r>
      <w:r w:rsidR="00B64C57">
        <w:rPr>
          <w:color w:val="231F20"/>
        </w:rPr>
        <w:t xml:space="preserve"> </w:t>
      </w:r>
      <w:r>
        <w:rPr>
          <w:color w:val="231F20"/>
        </w:rPr>
        <w:t>758</w:t>
      </w:r>
      <w:r w:rsidR="008A7D72">
        <w:rPr>
          <w:color w:val="231F20"/>
        </w:rPr>
        <w:t xml:space="preserve"> </w:t>
      </w:r>
      <w:r>
        <w:rPr>
          <w:color w:val="231F20"/>
        </w:rPr>
        <w:t>S.E.2d 515.</w:t>
      </w:r>
    </w:p>
    <w:p w14:paraId="1CE8D66A" w14:textId="77777777" w:rsidR="009910CD" w:rsidRPr="0005437D" w:rsidRDefault="00FC2690" w:rsidP="0005437D">
      <w:pPr>
        <w:pStyle w:val="BodyText"/>
        <w:spacing w:before="120" w:after="120"/>
        <w:ind w:left="1440"/>
        <w:jc w:val="both"/>
        <w:rPr>
          <w:color w:val="231F20"/>
        </w:rPr>
      </w:pPr>
      <w:r>
        <w:rPr>
          <w:color w:val="231F20"/>
        </w:rPr>
        <w:t>Pretrial Order precluded argument or evidence as to history of Honeywell Autopilots. Defense c</w:t>
      </w:r>
      <w:r w:rsidR="00AB18B1">
        <w:rPr>
          <w:color w:val="231F20"/>
        </w:rPr>
        <w:t>ounsel during closing made men</w:t>
      </w:r>
      <w:r>
        <w:rPr>
          <w:color w:val="231F20"/>
        </w:rPr>
        <w:t>tion of such. It was a reversible error for the Court to allow such.</w:t>
      </w:r>
    </w:p>
    <w:p w14:paraId="2B766C0A"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18.11</w:t>
      </w:r>
      <w:r w:rsidRPr="00ED1338">
        <w:rPr>
          <w:color w:val="231F20"/>
        </w:rPr>
        <w:tab/>
      </w:r>
      <w:r>
        <w:rPr>
          <w:color w:val="231F20"/>
        </w:rPr>
        <w:t>Consolidation</w:t>
      </w:r>
    </w:p>
    <w:p w14:paraId="791B72B4" w14:textId="77777777" w:rsidR="009910CD" w:rsidRDefault="00FC2690" w:rsidP="00770535">
      <w:pPr>
        <w:spacing w:before="125"/>
        <w:ind w:left="720"/>
      </w:pPr>
      <w:r>
        <w:rPr>
          <w:color w:val="231F20"/>
        </w:rPr>
        <w:t>2009—</w:t>
      </w:r>
      <w:r>
        <w:rPr>
          <w:i/>
          <w:color w:val="231F20"/>
        </w:rPr>
        <w:t>Centra Health, Inc. v.</w:t>
      </w:r>
      <w:r w:rsidR="00B64C57">
        <w:rPr>
          <w:i/>
          <w:color w:val="231F20"/>
        </w:rPr>
        <w:t xml:space="preserve"> </w:t>
      </w:r>
      <w:r>
        <w:rPr>
          <w:i/>
          <w:color w:val="231F20"/>
        </w:rPr>
        <w:t>Mullins</w:t>
      </w:r>
      <w:r>
        <w:rPr>
          <w:color w:val="231F20"/>
        </w:rPr>
        <w:t>, 277 Va.</w:t>
      </w:r>
      <w:r w:rsidR="00B64C57">
        <w:rPr>
          <w:color w:val="231F20"/>
        </w:rPr>
        <w:t xml:space="preserve"> </w:t>
      </w:r>
      <w:r>
        <w:rPr>
          <w:color w:val="231F20"/>
        </w:rPr>
        <w:t>59, 670 S.E.2d</w:t>
      </w:r>
      <w:r w:rsidR="00B64C57">
        <w:rPr>
          <w:color w:val="231F20"/>
        </w:rPr>
        <w:t xml:space="preserve"> </w:t>
      </w:r>
      <w:r>
        <w:rPr>
          <w:color w:val="231F20"/>
        </w:rPr>
        <w:t>708.</w:t>
      </w:r>
    </w:p>
    <w:p w14:paraId="24ED10A0" w14:textId="56B588F5" w:rsidR="009910CD" w:rsidRDefault="00FC2690" w:rsidP="0005437D">
      <w:pPr>
        <w:pStyle w:val="BodyText"/>
        <w:spacing w:before="120" w:after="120"/>
        <w:ind w:left="1440"/>
        <w:jc w:val="both"/>
        <w:rPr>
          <w:color w:val="231F20"/>
        </w:rPr>
      </w:pPr>
      <w:r>
        <w:rPr>
          <w:color w:val="231F20"/>
        </w:rPr>
        <w:t>In this medical malpractice action, trial court properly refused to require administrators of estate to elect between wrongful death and survival claim. Election between these reme</w:t>
      </w:r>
      <w:r w:rsidR="0090214B">
        <w:rPr>
          <w:color w:val="231F20"/>
        </w:rPr>
        <w:t>-</w:t>
      </w:r>
      <w:r>
        <w:rPr>
          <w:color w:val="231F20"/>
        </w:rPr>
        <w:t>dies is required only at a time when the record sufficiently established that the personal injuries and the death arose from the same cause. In this case,</w:t>
      </w:r>
      <w:r w:rsidR="00B64C57">
        <w:rPr>
          <w:color w:val="231F20"/>
        </w:rPr>
        <w:t xml:space="preserve"> </w:t>
      </w:r>
      <w:r>
        <w:rPr>
          <w:color w:val="231F20"/>
        </w:rPr>
        <w:t>both</w:t>
      </w:r>
      <w:r w:rsidR="0005437D">
        <w:rPr>
          <w:color w:val="231F20"/>
        </w:rPr>
        <w:t xml:space="preserve"> </w:t>
      </w:r>
      <w:r>
        <w:rPr>
          <w:color w:val="231F20"/>
        </w:rPr>
        <w:t xml:space="preserve">claims were </w:t>
      </w:r>
      <w:r w:rsidR="0090214B">
        <w:rPr>
          <w:color w:val="231F20"/>
        </w:rPr>
        <w:t>submitted</w:t>
      </w:r>
      <w:r w:rsidR="009D6788">
        <w:rPr>
          <w:color w:val="231F20"/>
        </w:rPr>
        <w:t xml:space="preserve"> </w:t>
      </w:r>
      <w:r>
        <w:rPr>
          <w:color w:val="231F20"/>
        </w:rPr>
        <w:t>to the jury. Where there is any doubt as to when compelling an election would be proper, bifurcation is the most practical means to assure that each party receives a fair opportunity to present their case to the jury without prejudice to the other.</w:t>
      </w:r>
    </w:p>
    <w:p w14:paraId="35A37E0D" w14:textId="77777777" w:rsidR="0086457E" w:rsidRPr="00ED1338" w:rsidRDefault="0086457E" w:rsidP="00ED1338">
      <w:pPr>
        <w:pStyle w:val="Heading4"/>
        <w:tabs>
          <w:tab w:val="left" w:pos="720"/>
        </w:tabs>
        <w:spacing w:before="0" w:line="241" w:lineRule="exact"/>
        <w:ind w:left="0"/>
        <w:rPr>
          <w:color w:val="231F20"/>
        </w:rPr>
      </w:pPr>
      <w:r>
        <w:rPr>
          <w:color w:val="231F20"/>
        </w:rPr>
        <w:t>§</w:t>
      </w:r>
      <w:r w:rsidRPr="00ED1338">
        <w:rPr>
          <w:color w:val="231F20"/>
        </w:rPr>
        <w:t xml:space="preserve"> 18.15</w:t>
      </w:r>
      <w:r w:rsidRPr="00ED1338">
        <w:rPr>
          <w:color w:val="231F20"/>
        </w:rPr>
        <w:tab/>
      </w:r>
      <w:r>
        <w:rPr>
          <w:color w:val="231F20"/>
        </w:rPr>
        <w:t>Courts</w:t>
      </w:r>
    </w:p>
    <w:p w14:paraId="533ECCD8" w14:textId="014851E5" w:rsidR="00D61DAE" w:rsidRDefault="002F24E0" w:rsidP="00362076">
      <w:pPr>
        <w:pStyle w:val="BodyText"/>
        <w:spacing w:before="120" w:after="120"/>
        <w:ind w:left="1440"/>
        <w:jc w:val="both"/>
        <w:rPr>
          <w:color w:val="231F20"/>
        </w:rPr>
      </w:pPr>
      <w:r>
        <w:rPr>
          <w:color w:val="231F20"/>
        </w:rPr>
        <w:t>Va.</w:t>
      </w:r>
      <w:r w:rsidR="00D61DAE">
        <w:rPr>
          <w:color w:val="231F20"/>
        </w:rPr>
        <w:t xml:space="preserve"> Code § 8.01-4 says that courts may prescribe rules that are not inconsistent with Supreme Court rules, statutes or decided cases.  No civil matter may be dismissed with prejudice for failure to comply with a local rule.</w:t>
      </w:r>
    </w:p>
    <w:p w14:paraId="5C278DD7" w14:textId="2B78C588" w:rsidR="009910CD" w:rsidRDefault="0086457E" w:rsidP="00362076">
      <w:pPr>
        <w:pStyle w:val="BodyText"/>
        <w:spacing w:before="120" w:after="120"/>
        <w:ind w:left="1440"/>
        <w:jc w:val="both"/>
        <w:rPr>
          <w:color w:val="231F20"/>
        </w:rPr>
      </w:pPr>
      <w:r w:rsidRPr="002046B8">
        <w:rPr>
          <w:i/>
          <w:iCs/>
          <w:color w:val="231F20"/>
        </w:rPr>
        <w:t>See</w:t>
      </w:r>
      <w:r w:rsidRPr="00362076">
        <w:rPr>
          <w:color w:val="231F20"/>
        </w:rPr>
        <w:t xml:space="preserve"> § 8.01-4 of the Virginia Code as to local rules.</w:t>
      </w:r>
    </w:p>
    <w:p w14:paraId="05FB2788" w14:textId="230F3E5F" w:rsidR="00833C55" w:rsidRPr="00ED1338" w:rsidRDefault="00833C55" w:rsidP="00833C55">
      <w:pPr>
        <w:pStyle w:val="Heading4"/>
        <w:tabs>
          <w:tab w:val="left" w:pos="720"/>
        </w:tabs>
        <w:spacing w:before="0" w:line="241" w:lineRule="exact"/>
        <w:ind w:left="0"/>
        <w:rPr>
          <w:color w:val="231F20"/>
        </w:rPr>
      </w:pPr>
      <w:r>
        <w:rPr>
          <w:color w:val="231F20"/>
        </w:rPr>
        <w:t>§</w:t>
      </w:r>
      <w:r w:rsidRPr="00ED1338">
        <w:rPr>
          <w:color w:val="231F20"/>
        </w:rPr>
        <w:t xml:space="preserve"> 18.1</w:t>
      </w:r>
      <w:r>
        <w:rPr>
          <w:color w:val="231F20"/>
        </w:rPr>
        <w:t>7</w:t>
      </w:r>
      <w:r w:rsidRPr="00ED1338">
        <w:rPr>
          <w:color w:val="231F20"/>
        </w:rPr>
        <w:tab/>
      </w:r>
      <w:r>
        <w:rPr>
          <w:color w:val="231F20"/>
        </w:rPr>
        <w:t>Declaratory Judgment</w:t>
      </w:r>
    </w:p>
    <w:p w14:paraId="6CFF1189" w14:textId="31E68DDA" w:rsidR="00833C55" w:rsidRDefault="00833C55" w:rsidP="00833C55">
      <w:pPr>
        <w:spacing w:before="126"/>
        <w:ind w:left="720"/>
      </w:pPr>
      <w:r>
        <w:rPr>
          <w:color w:val="231F20"/>
        </w:rPr>
        <w:t>2023—</w:t>
      </w:r>
      <w:r>
        <w:rPr>
          <w:i/>
          <w:color w:val="231F20"/>
        </w:rPr>
        <w:t>Rosson v.</w:t>
      </w:r>
      <w:r w:rsidR="00103700">
        <w:rPr>
          <w:i/>
          <w:color w:val="231F20"/>
        </w:rPr>
        <w:t xml:space="preserve"> </w:t>
      </w:r>
      <w:r>
        <w:rPr>
          <w:i/>
          <w:color w:val="231F20"/>
        </w:rPr>
        <w:t>Erie Insurance Exchange</w:t>
      </w:r>
      <w:r>
        <w:rPr>
          <w:color w:val="231F20"/>
        </w:rPr>
        <w:t>, 79 Va. App, 266, 895 S.E.2d 795.</w:t>
      </w:r>
    </w:p>
    <w:p w14:paraId="10509FC5" w14:textId="0272EF14" w:rsidR="00833C55" w:rsidRDefault="00833C55" w:rsidP="00833C55">
      <w:pPr>
        <w:pStyle w:val="BodyText"/>
        <w:spacing w:before="120" w:after="120"/>
        <w:ind w:left="1440"/>
        <w:jc w:val="both"/>
        <w:rPr>
          <w:color w:val="231F20"/>
        </w:rPr>
      </w:pPr>
      <w:r>
        <w:rPr>
          <w:color w:val="231F20"/>
        </w:rPr>
        <w:t xml:space="preserve">When a declaratory judgment regarding a disputed fact would be determinative of the issues, the case is not appropriate for declaratory judgment. </w:t>
      </w:r>
    </w:p>
    <w:p w14:paraId="74795821" w14:textId="77777777" w:rsidR="00E80F51" w:rsidRPr="00ED1338" w:rsidRDefault="00E80F51" w:rsidP="00E80F51">
      <w:pPr>
        <w:pStyle w:val="Heading4"/>
        <w:tabs>
          <w:tab w:val="left" w:pos="720"/>
        </w:tabs>
        <w:spacing w:before="0" w:line="241" w:lineRule="exact"/>
        <w:ind w:left="0"/>
        <w:rPr>
          <w:color w:val="231F20"/>
        </w:rPr>
      </w:pPr>
      <w:r>
        <w:rPr>
          <w:color w:val="231F20"/>
        </w:rPr>
        <w:t>§</w:t>
      </w:r>
      <w:r w:rsidRPr="00ED1338">
        <w:rPr>
          <w:color w:val="231F20"/>
        </w:rPr>
        <w:t xml:space="preserve"> 18.1</w:t>
      </w:r>
      <w:r>
        <w:rPr>
          <w:color w:val="231F20"/>
        </w:rPr>
        <w:t>8</w:t>
      </w:r>
      <w:r w:rsidRPr="00ED1338">
        <w:rPr>
          <w:color w:val="231F20"/>
        </w:rPr>
        <w:tab/>
      </w:r>
      <w:r>
        <w:rPr>
          <w:color w:val="231F20"/>
        </w:rPr>
        <w:t>Default Judgment</w:t>
      </w:r>
    </w:p>
    <w:p w14:paraId="6E36E0D2" w14:textId="72FEBEB1" w:rsidR="00E80F51" w:rsidRDefault="005E3DC0" w:rsidP="00E80F51">
      <w:pPr>
        <w:spacing w:before="126"/>
        <w:ind w:left="720"/>
      </w:pPr>
      <w:r>
        <w:rPr>
          <w:color w:val="231F20"/>
        </w:rPr>
        <w:t>20</w:t>
      </w:r>
      <w:r w:rsidR="00833C55">
        <w:rPr>
          <w:color w:val="231F20"/>
        </w:rPr>
        <w:t>23</w:t>
      </w:r>
      <w:r w:rsidR="00E80F51">
        <w:rPr>
          <w:color w:val="231F20"/>
        </w:rPr>
        <w:t>—</w:t>
      </w:r>
      <w:r w:rsidR="00833C55">
        <w:rPr>
          <w:i/>
          <w:color w:val="231F20"/>
        </w:rPr>
        <w:t>Rosson</w:t>
      </w:r>
      <w:r w:rsidR="00E80F51">
        <w:rPr>
          <w:i/>
          <w:color w:val="231F20"/>
        </w:rPr>
        <w:t xml:space="preserve"> v.</w:t>
      </w:r>
      <w:r w:rsidR="00103700">
        <w:rPr>
          <w:i/>
          <w:color w:val="231F20"/>
        </w:rPr>
        <w:t xml:space="preserve"> </w:t>
      </w:r>
      <w:r w:rsidR="00833C55">
        <w:rPr>
          <w:i/>
          <w:color w:val="231F20"/>
        </w:rPr>
        <w:t>Erie Insurance Exchange</w:t>
      </w:r>
      <w:r w:rsidR="00E80F51">
        <w:rPr>
          <w:color w:val="231F20"/>
        </w:rPr>
        <w:t xml:space="preserve">, </w:t>
      </w:r>
      <w:r w:rsidR="00833C55">
        <w:rPr>
          <w:color w:val="231F20"/>
        </w:rPr>
        <w:t>79</w:t>
      </w:r>
      <w:r w:rsidR="00E80F51">
        <w:rPr>
          <w:color w:val="231F20"/>
        </w:rPr>
        <w:t xml:space="preserve"> Va. </w:t>
      </w:r>
      <w:r w:rsidR="00833C55">
        <w:rPr>
          <w:color w:val="231F20"/>
        </w:rPr>
        <w:t>App</w:t>
      </w:r>
      <w:r w:rsidR="00103700">
        <w:rPr>
          <w:color w:val="231F20"/>
        </w:rPr>
        <w:t>.</w:t>
      </w:r>
      <w:r w:rsidR="00833C55">
        <w:rPr>
          <w:color w:val="231F20"/>
        </w:rPr>
        <w:t xml:space="preserve"> 266, 895 S.E.2d 795</w:t>
      </w:r>
      <w:r w:rsidR="00E80F51">
        <w:rPr>
          <w:color w:val="231F20"/>
        </w:rPr>
        <w:t>.</w:t>
      </w:r>
    </w:p>
    <w:p w14:paraId="4A5BDBCA" w14:textId="03FF710D" w:rsidR="00E80F51" w:rsidRDefault="005E3DC0" w:rsidP="00E80F51">
      <w:pPr>
        <w:pStyle w:val="BodyText"/>
        <w:spacing w:before="120" w:after="120"/>
        <w:ind w:left="1440"/>
        <w:jc w:val="both"/>
        <w:rPr>
          <w:color w:val="231F20"/>
        </w:rPr>
      </w:pPr>
      <w:r>
        <w:rPr>
          <w:color w:val="231F20"/>
        </w:rPr>
        <w:t xml:space="preserve">Erie filed declaratory judgment action. Defendant failed to file responsive pleading in a timely fashion and default was properly entered. </w:t>
      </w:r>
    </w:p>
    <w:p w14:paraId="78A058F6" w14:textId="77777777" w:rsidR="005E3DC0" w:rsidRDefault="005E3DC0" w:rsidP="005E3DC0">
      <w:pPr>
        <w:spacing w:before="126"/>
        <w:ind w:left="720"/>
      </w:pPr>
      <w:r>
        <w:rPr>
          <w:color w:val="231F20"/>
        </w:rPr>
        <w:t>2015—</w:t>
      </w:r>
      <w:r>
        <w:rPr>
          <w:i/>
          <w:color w:val="231F20"/>
        </w:rPr>
        <w:t>Sauder v. Ferguson</w:t>
      </w:r>
      <w:r>
        <w:rPr>
          <w:color w:val="231F20"/>
        </w:rPr>
        <w:t>, 289 Va. 449, 771 S.E.2d 664.</w:t>
      </w:r>
    </w:p>
    <w:p w14:paraId="3A81D98B" w14:textId="77777777" w:rsidR="005E3DC0" w:rsidRPr="00362076" w:rsidRDefault="005E3DC0" w:rsidP="005E3DC0">
      <w:pPr>
        <w:pStyle w:val="BodyText"/>
        <w:spacing w:before="120" w:after="120"/>
        <w:ind w:left="1440"/>
        <w:jc w:val="both"/>
        <w:rPr>
          <w:color w:val="231F20"/>
        </w:rPr>
      </w:pPr>
      <w:r>
        <w:rPr>
          <w:color w:val="231F20"/>
        </w:rPr>
        <w:t>Plaintiff’s Motion to Vacate Default Judgment in this auto accident case was properly denied.</w:t>
      </w:r>
    </w:p>
    <w:p w14:paraId="410BA5D5"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18.19</w:t>
      </w:r>
      <w:r>
        <w:rPr>
          <w:color w:val="231F20"/>
        </w:rPr>
        <w:tab/>
        <w:t>Demurrer</w:t>
      </w:r>
    </w:p>
    <w:p w14:paraId="070AC66A" w14:textId="060142BB" w:rsidR="002C3DC8" w:rsidRDefault="002C3DC8" w:rsidP="002C3DC8">
      <w:pPr>
        <w:spacing w:before="141" w:line="250" w:lineRule="exact"/>
        <w:ind w:left="720" w:right="821"/>
      </w:pPr>
      <w:r>
        <w:rPr>
          <w:color w:val="231F20"/>
        </w:rPr>
        <w:t>2023—</w:t>
      </w:r>
      <w:r>
        <w:rPr>
          <w:i/>
          <w:color w:val="231F20"/>
        </w:rPr>
        <w:t>Theologis v. Weiler</w:t>
      </w:r>
      <w:r>
        <w:rPr>
          <w:color w:val="231F20"/>
        </w:rPr>
        <w:t>, 76 Va. App. 596, 883 S.E.2d 241.</w:t>
      </w:r>
    </w:p>
    <w:p w14:paraId="3D2D3038" w14:textId="3D490A9C" w:rsidR="002C3DC8" w:rsidRDefault="002C3DC8" w:rsidP="002C3DC8">
      <w:pPr>
        <w:spacing w:before="141" w:line="250" w:lineRule="exact"/>
        <w:ind w:left="1440"/>
        <w:jc w:val="both"/>
        <w:rPr>
          <w:color w:val="231F20"/>
        </w:rPr>
      </w:pPr>
      <w:r>
        <w:rPr>
          <w:color w:val="231F20"/>
        </w:rPr>
        <w:t>On appeal of the sustaining of a demurrer, the court may only consider those arguments raised in the trial court in support of the demurrer.  The court may not apply the right result-wrong reason rule in reviewing a demurrer.</w:t>
      </w:r>
    </w:p>
    <w:p w14:paraId="7F8E6F09" w14:textId="77777777" w:rsidR="001C0781" w:rsidRDefault="001C0781" w:rsidP="00770535">
      <w:pPr>
        <w:spacing w:before="141" w:line="250" w:lineRule="exact"/>
        <w:ind w:left="720" w:right="821"/>
        <w:rPr>
          <w:color w:val="231F20"/>
        </w:rPr>
      </w:pPr>
    </w:p>
    <w:p w14:paraId="76E5A0DC" w14:textId="13C17411" w:rsidR="009910CD" w:rsidRDefault="00FC2690" w:rsidP="00770535">
      <w:pPr>
        <w:spacing w:before="141" w:line="250" w:lineRule="exact"/>
        <w:ind w:left="720" w:right="821"/>
      </w:pPr>
      <w:r>
        <w:rPr>
          <w:color w:val="231F20"/>
        </w:rPr>
        <w:lastRenderedPageBreak/>
        <w:t>2009—</w:t>
      </w:r>
      <w:proofErr w:type="spellStart"/>
      <w:r>
        <w:rPr>
          <w:i/>
          <w:color w:val="231F20"/>
        </w:rPr>
        <w:t>DurretteBradshaw</w:t>
      </w:r>
      <w:proofErr w:type="spellEnd"/>
      <w:r>
        <w:rPr>
          <w:i/>
          <w:color w:val="231F20"/>
        </w:rPr>
        <w:t>, P.C. v. MRC Consulting, L.C.</w:t>
      </w:r>
      <w:r>
        <w:rPr>
          <w:color w:val="231F20"/>
        </w:rPr>
        <w:t>, 277 Va. 140, 670 S.E.2d 704.</w:t>
      </w:r>
    </w:p>
    <w:p w14:paraId="625918DF" w14:textId="77777777" w:rsidR="009910CD" w:rsidRPr="00362076" w:rsidRDefault="00FC2690" w:rsidP="00362076">
      <w:pPr>
        <w:pStyle w:val="BodyText"/>
        <w:spacing w:before="120" w:after="120"/>
        <w:ind w:left="1440"/>
        <w:jc w:val="both"/>
        <w:rPr>
          <w:color w:val="231F20"/>
        </w:rPr>
      </w:pPr>
      <w:r>
        <w:rPr>
          <w:color w:val="231F20"/>
        </w:rPr>
        <w:t>Plaintiff</w:t>
      </w:r>
      <w:r w:rsidRPr="00362076">
        <w:rPr>
          <w:color w:val="231F20"/>
        </w:rPr>
        <w:t xml:space="preserve"> </w:t>
      </w:r>
      <w:r>
        <w:rPr>
          <w:color w:val="231F20"/>
        </w:rPr>
        <w:t>sued</w:t>
      </w:r>
      <w:r w:rsidRPr="00362076">
        <w:rPr>
          <w:color w:val="231F20"/>
        </w:rPr>
        <w:t xml:space="preserve"> </w:t>
      </w:r>
      <w:r>
        <w:rPr>
          <w:color w:val="231F20"/>
        </w:rPr>
        <w:t>law</w:t>
      </w:r>
      <w:r w:rsidRPr="00362076">
        <w:rPr>
          <w:color w:val="231F20"/>
        </w:rPr>
        <w:t xml:space="preserve"> </w:t>
      </w:r>
      <w:r>
        <w:rPr>
          <w:color w:val="231F20"/>
        </w:rPr>
        <w:t>firm</w:t>
      </w:r>
      <w:r w:rsidRPr="00362076">
        <w:rPr>
          <w:color w:val="231F20"/>
        </w:rPr>
        <w:t xml:space="preserve"> </w:t>
      </w:r>
      <w:r>
        <w:rPr>
          <w:color w:val="231F20"/>
        </w:rPr>
        <w:t>alleging</w:t>
      </w:r>
      <w:r w:rsidRPr="00362076">
        <w:rPr>
          <w:color w:val="231F20"/>
        </w:rPr>
        <w:t xml:space="preserve"> </w:t>
      </w:r>
      <w:r>
        <w:rPr>
          <w:color w:val="231F20"/>
        </w:rPr>
        <w:t>tortious</w:t>
      </w:r>
      <w:r w:rsidRPr="00362076">
        <w:rPr>
          <w:color w:val="231F20"/>
        </w:rPr>
        <w:t xml:space="preserve"> </w:t>
      </w:r>
      <w:r>
        <w:rPr>
          <w:color w:val="231F20"/>
        </w:rPr>
        <w:t>interference</w:t>
      </w:r>
      <w:r w:rsidRPr="00362076">
        <w:rPr>
          <w:color w:val="231F20"/>
        </w:rPr>
        <w:t xml:space="preserve"> </w:t>
      </w:r>
      <w:r>
        <w:rPr>
          <w:color w:val="231F20"/>
        </w:rPr>
        <w:t>with</w:t>
      </w:r>
      <w:r w:rsidRPr="00362076">
        <w:rPr>
          <w:color w:val="231F20"/>
        </w:rPr>
        <w:t xml:space="preserve"> </w:t>
      </w:r>
      <w:r>
        <w:rPr>
          <w:color w:val="231F20"/>
        </w:rPr>
        <w:t>contractual relationship where the alleged contract that was directly interfered with</w:t>
      </w:r>
      <w:r w:rsidRPr="00362076">
        <w:rPr>
          <w:color w:val="231F20"/>
        </w:rPr>
        <w:t xml:space="preserve"> </w:t>
      </w:r>
      <w:r>
        <w:rPr>
          <w:color w:val="231F20"/>
        </w:rPr>
        <w:t>was</w:t>
      </w:r>
      <w:r w:rsidRPr="00362076">
        <w:rPr>
          <w:color w:val="231F20"/>
        </w:rPr>
        <w:t xml:space="preserve"> </w:t>
      </w:r>
      <w:r>
        <w:rPr>
          <w:color w:val="231F20"/>
        </w:rPr>
        <w:t>one</w:t>
      </w:r>
      <w:r w:rsidRPr="00362076">
        <w:rPr>
          <w:color w:val="231F20"/>
        </w:rPr>
        <w:t xml:space="preserve"> </w:t>
      </w:r>
      <w:r>
        <w:rPr>
          <w:color w:val="231F20"/>
        </w:rPr>
        <w:t>that</w:t>
      </w:r>
      <w:r w:rsidRPr="00362076">
        <w:rPr>
          <w:color w:val="231F20"/>
        </w:rPr>
        <w:t xml:space="preserve"> </w:t>
      </w:r>
      <w:r>
        <w:rPr>
          <w:color w:val="231F20"/>
        </w:rPr>
        <w:t>the</w:t>
      </w:r>
      <w:r w:rsidRPr="00362076">
        <w:rPr>
          <w:color w:val="231F20"/>
        </w:rPr>
        <w:t xml:space="preserve"> </w:t>
      </w:r>
      <w:r>
        <w:rPr>
          <w:color w:val="231F20"/>
        </w:rPr>
        <w:t>plaintiff</w:t>
      </w:r>
      <w:r w:rsidRPr="00362076">
        <w:rPr>
          <w:color w:val="231F20"/>
        </w:rPr>
        <w:t xml:space="preserve"> </w:t>
      </w:r>
      <w:r>
        <w:rPr>
          <w:color w:val="231F20"/>
        </w:rPr>
        <w:t>was</w:t>
      </w:r>
      <w:r w:rsidRPr="00362076">
        <w:rPr>
          <w:color w:val="231F20"/>
        </w:rPr>
        <w:t xml:space="preserve"> </w:t>
      </w:r>
      <w:r>
        <w:rPr>
          <w:color w:val="231F20"/>
        </w:rPr>
        <w:t>not</w:t>
      </w:r>
      <w:r w:rsidRPr="00362076">
        <w:rPr>
          <w:color w:val="231F20"/>
        </w:rPr>
        <w:t xml:space="preserve"> </w:t>
      </w:r>
      <w:r>
        <w:rPr>
          <w:color w:val="231F20"/>
        </w:rPr>
        <w:t>a</w:t>
      </w:r>
      <w:r w:rsidRPr="00362076">
        <w:rPr>
          <w:color w:val="231F20"/>
        </w:rPr>
        <w:t xml:space="preserve"> </w:t>
      </w:r>
      <w:r>
        <w:rPr>
          <w:color w:val="231F20"/>
        </w:rPr>
        <w:t>party</w:t>
      </w:r>
      <w:r w:rsidRPr="00362076">
        <w:rPr>
          <w:color w:val="231F20"/>
        </w:rPr>
        <w:t xml:space="preserve"> </w:t>
      </w:r>
      <w:r>
        <w:rPr>
          <w:color w:val="231F20"/>
        </w:rPr>
        <w:t>to</w:t>
      </w:r>
      <w:r w:rsidRPr="00362076">
        <w:rPr>
          <w:color w:val="231F20"/>
        </w:rPr>
        <w:t xml:space="preserve"> </w:t>
      </w:r>
      <w:r>
        <w:rPr>
          <w:color w:val="231F20"/>
        </w:rPr>
        <w:t>but</w:t>
      </w:r>
      <w:r w:rsidRPr="00362076">
        <w:rPr>
          <w:color w:val="231F20"/>
        </w:rPr>
        <w:t xml:space="preserve"> </w:t>
      </w:r>
      <w:r>
        <w:rPr>
          <w:color w:val="231F20"/>
        </w:rPr>
        <w:t>that</w:t>
      </w:r>
      <w:r w:rsidRPr="00362076">
        <w:rPr>
          <w:color w:val="231F20"/>
        </w:rPr>
        <w:t xml:space="preserve"> </w:t>
      </w:r>
      <w:r>
        <w:rPr>
          <w:color w:val="231F20"/>
        </w:rPr>
        <w:t>interference then allegedly caused damage to the plaintiff under a separate contract. The complaint did not allege that defendant intended to affect the plaintiff’s contract or that it acted for the purpose interfering with that contract. As such, the claim was demurrable and the demurrer should have been sustained. Judgment in favor of the plaintiff was</w:t>
      </w:r>
      <w:r w:rsidRPr="00362076">
        <w:rPr>
          <w:color w:val="231F20"/>
        </w:rPr>
        <w:t xml:space="preserve"> </w:t>
      </w:r>
      <w:r>
        <w:rPr>
          <w:color w:val="231F20"/>
        </w:rPr>
        <w:t>reversed.</w:t>
      </w:r>
    </w:p>
    <w:p w14:paraId="78DF4E97" w14:textId="5E0BE7AB" w:rsidR="000C0785" w:rsidRPr="00ED1338" w:rsidRDefault="000C0785" w:rsidP="000C0785">
      <w:pPr>
        <w:pStyle w:val="Heading4"/>
        <w:tabs>
          <w:tab w:val="left" w:pos="720"/>
        </w:tabs>
        <w:spacing w:before="0" w:line="241" w:lineRule="exact"/>
        <w:ind w:left="0"/>
        <w:rPr>
          <w:color w:val="231F20"/>
        </w:rPr>
      </w:pPr>
      <w:r w:rsidRPr="000E25FE">
        <w:rPr>
          <w:color w:val="231F20"/>
        </w:rPr>
        <w:t>§ 18.21</w:t>
      </w:r>
      <w:r w:rsidRPr="000E25FE">
        <w:rPr>
          <w:color w:val="231F20"/>
        </w:rPr>
        <w:tab/>
        <w:t>Discovery</w:t>
      </w:r>
    </w:p>
    <w:p w14:paraId="29D6FBB4" w14:textId="4C4F029C" w:rsidR="000C0785" w:rsidRDefault="000C0785" w:rsidP="00AF062B">
      <w:pPr>
        <w:tabs>
          <w:tab w:val="left" w:pos="2041"/>
        </w:tabs>
        <w:spacing w:before="85"/>
        <w:ind w:left="1170" w:hanging="450"/>
        <w:rPr>
          <w:b/>
        </w:rPr>
      </w:pPr>
      <w:r>
        <w:rPr>
          <w:b/>
          <w:color w:val="231F20"/>
        </w:rPr>
        <w:t>[1]</w:t>
      </w:r>
      <w:r>
        <w:rPr>
          <w:b/>
          <w:color w:val="231F20"/>
        </w:rPr>
        <w:tab/>
        <w:t>Depositions</w:t>
      </w:r>
    </w:p>
    <w:p w14:paraId="69538407" w14:textId="6320F357" w:rsidR="00885FD7" w:rsidRPr="00885FD7" w:rsidRDefault="00885FD7">
      <w:pPr>
        <w:pStyle w:val="BodyText"/>
        <w:spacing w:before="120" w:after="120"/>
        <w:ind w:left="1440"/>
        <w:jc w:val="both"/>
        <w:rPr>
          <w:color w:val="231F20"/>
        </w:rPr>
      </w:pPr>
      <w:r>
        <w:rPr>
          <w:i/>
          <w:iCs/>
          <w:color w:val="231F20"/>
        </w:rPr>
        <w:t>See</w:t>
      </w:r>
      <w:r>
        <w:rPr>
          <w:color w:val="231F20"/>
        </w:rPr>
        <w:t xml:space="preserve"> </w:t>
      </w:r>
      <w:r w:rsidR="002F24E0">
        <w:rPr>
          <w:color w:val="231F20"/>
        </w:rPr>
        <w:t xml:space="preserve">Va. </w:t>
      </w:r>
      <w:r>
        <w:rPr>
          <w:color w:val="231F20"/>
        </w:rPr>
        <w:t>Code § 8.01-420.4:1 as to taking depositions of corporate officers.</w:t>
      </w:r>
    </w:p>
    <w:p w14:paraId="38441FBE" w14:textId="122C9FD2" w:rsidR="000C0785" w:rsidRDefault="000C0785">
      <w:pPr>
        <w:pStyle w:val="BodyText"/>
        <w:spacing w:before="120" w:after="120"/>
        <w:ind w:left="1440"/>
        <w:jc w:val="both"/>
        <w:rPr>
          <w:color w:val="231F20"/>
        </w:rPr>
      </w:pPr>
      <w:r>
        <w:rPr>
          <w:i/>
          <w:iCs/>
          <w:color w:val="231F20"/>
        </w:rPr>
        <w:t>See</w:t>
      </w:r>
      <w:r>
        <w:rPr>
          <w:color w:val="231F20"/>
        </w:rPr>
        <w:t xml:space="preserve"> the Uniform Interstate Discovery Act at </w:t>
      </w:r>
      <w:r w:rsidR="002F24E0">
        <w:rPr>
          <w:color w:val="231F20"/>
        </w:rPr>
        <w:t>Va.</w:t>
      </w:r>
      <w:r>
        <w:rPr>
          <w:color w:val="231F20"/>
        </w:rPr>
        <w:t xml:space="preserve"> Code § 8.01-412.8.</w:t>
      </w:r>
    </w:p>
    <w:p w14:paraId="0F1C1415" w14:textId="77777777" w:rsidR="009910CD" w:rsidRPr="00ED1338" w:rsidRDefault="00FC2690"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18.22</w:t>
      </w:r>
      <w:r>
        <w:rPr>
          <w:color w:val="231F20"/>
        </w:rPr>
        <w:tab/>
        <w:t>Dismissal</w:t>
      </w:r>
    </w:p>
    <w:p w14:paraId="433B20C7" w14:textId="77777777" w:rsidR="009910CD" w:rsidRDefault="00FC2690" w:rsidP="00770535">
      <w:pPr>
        <w:spacing w:before="126"/>
        <w:ind w:left="720"/>
      </w:pPr>
      <w:r>
        <w:rPr>
          <w:color w:val="231F20"/>
        </w:rPr>
        <w:t>2011—</w:t>
      </w:r>
      <w:r>
        <w:rPr>
          <w:i/>
          <w:color w:val="231F20"/>
        </w:rPr>
        <w:t>Rutter v.</w:t>
      </w:r>
      <w:r w:rsidR="00B64C57">
        <w:rPr>
          <w:i/>
          <w:color w:val="231F20"/>
        </w:rPr>
        <w:t xml:space="preserve"> </w:t>
      </w:r>
      <w:r>
        <w:rPr>
          <w:i/>
          <w:color w:val="231F20"/>
        </w:rPr>
        <w:t>Oakwood Living Centers</w:t>
      </w:r>
      <w:r>
        <w:rPr>
          <w:color w:val="231F20"/>
        </w:rPr>
        <w:t>, 282 Va.</w:t>
      </w:r>
      <w:r w:rsidR="00B64C57">
        <w:rPr>
          <w:color w:val="231F20"/>
        </w:rPr>
        <w:t xml:space="preserve"> </w:t>
      </w:r>
      <w:r>
        <w:rPr>
          <w:color w:val="231F20"/>
        </w:rPr>
        <w:t>4, 710 S.E.2d</w:t>
      </w:r>
      <w:r w:rsidR="00B64C57">
        <w:rPr>
          <w:color w:val="231F20"/>
        </w:rPr>
        <w:t xml:space="preserve"> </w:t>
      </w:r>
      <w:r>
        <w:rPr>
          <w:color w:val="231F20"/>
        </w:rPr>
        <w:t>460.</w:t>
      </w:r>
    </w:p>
    <w:p w14:paraId="4E654025" w14:textId="77777777" w:rsidR="009910CD" w:rsidRPr="00362076" w:rsidRDefault="00FC2690" w:rsidP="00362076">
      <w:pPr>
        <w:pStyle w:val="BodyText"/>
        <w:spacing w:before="120" w:after="120"/>
        <w:ind w:left="1440"/>
        <w:jc w:val="both"/>
        <w:rPr>
          <w:color w:val="231F20"/>
        </w:rPr>
      </w:pPr>
      <w:r>
        <w:rPr>
          <w:color w:val="231F20"/>
        </w:rPr>
        <w:t xml:space="preserve">In this wrongful death action, trial </w:t>
      </w:r>
      <w:r w:rsidR="00AB18B1">
        <w:rPr>
          <w:color w:val="231F20"/>
        </w:rPr>
        <w:t>court incorrectly entered self-</w:t>
      </w:r>
      <w:r>
        <w:rPr>
          <w:color w:val="231F20"/>
        </w:rPr>
        <w:t>executing, prospective order of dismissal. Since that order was improperly</w:t>
      </w:r>
      <w:r w:rsidRPr="00362076">
        <w:rPr>
          <w:color w:val="231F20"/>
        </w:rPr>
        <w:t xml:space="preserve"> </w:t>
      </w:r>
      <w:r>
        <w:rPr>
          <w:color w:val="231F20"/>
        </w:rPr>
        <w:t>entered,</w:t>
      </w:r>
      <w:r w:rsidRPr="00362076">
        <w:rPr>
          <w:color w:val="231F20"/>
        </w:rPr>
        <w:t xml:space="preserve"> </w:t>
      </w:r>
      <w:r>
        <w:rPr>
          <w:color w:val="231F20"/>
        </w:rPr>
        <w:t>the</w:t>
      </w:r>
      <w:r w:rsidRPr="00362076">
        <w:rPr>
          <w:color w:val="231F20"/>
        </w:rPr>
        <w:t xml:space="preserve"> </w:t>
      </w:r>
      <w:r>
        <w:rPr>
          <w:color w:val="231F20"/>
        </w:rPr>
        <w:t>subsequent</w:t>
      </w:r>
      <w:r w:rsidRPr="00362076">
        <w:rPr>
          <w:color w:val="231F20"/>
        </w:rPr>
        <w:t xml:space="preserve"> </w:t>
      </w:r>
      <w:r>
        <w:rPr>
          <w:color w:val="231F20"/>
        </w:rPr>
        <w:t>order</w:t>
      </w:r>
      <w:r w:rsidRPr="00362076">
        <w:rPr>
          <w:color w:val="231F20"/>
        </w:rPr>
        <w:t xml:space="preserve"> </w:t>
      </w:r>
      <w:r>
        <w:rPr>
          <w:color w:val="231F20"/>
        </w:rPr>
        <w:t>of</w:t>
      </w:r>
      <w:r w:rsidRPr="00362076">
        <w:rPr>
          <w:color w:val="231F20"/>
        </w:rPr>
        <w:t xml:space="preserve"> </w:t>
      </w:r>
      <w:r>
        <w:rPr>
          <w:color w:val="231F20"/>
        </w:rPr>
        <w:t>dismissal</w:t>
      </w:r>
      <w:r w:rsidRPr="00362076">
        <w:rPr>
          <w:color w:val="231F20"/>
        </w:rPr>
        <w:t xml:space="preserve"> </w:t>
      </w:r>
      <w:r>
        <w:rPr>
          <w:color w:val="231F20"/>
        </w:rPr>
        <w:t>was</w:t>
      </w:r>
      <w:r w:rsidRPr="00362076">
        <w:rPr>
          <w:color w:val="231F20"/>
        </w:rPr>
        <w:t xml:space="preserve"> </w:t>
      </w:r>
      <w:r>
        <w:rPr>
          <w:color w:val="231F20"/>
        </w:rPr>
        <w:t>not</w:t>
      </w:r>
      <w:r w:rsidRPr="00362076">
        <w:rPr>
          <w:color w:val="231F20"/>
        </w:rPr>
        <w:t xml:space="preserve"> </w:t>
      </w:r>
      <w:r>
        <w:rPr>
          <w:color w:val="231F20"/>
        </w:rPr>
        <w:t>a</w:t>
      </w:r>
      <w:r w:rsidRPr="00362076">
        <w:rPr>
          <w:color w:val="231F20"/>
        </w:rPr>
        <w:t xml:space="preserve"> </w:t>
      </w:r>
      <w:r>
        <w:rPr>
          <w:color w:val="231F20"/>
        </w:rPr>
        <w:t>final order and therefore appeal is</w:t>
      </w:r>
      <w:r w:rsidR="00B64C57">
        <w:rPr>
          <w:color w:val="231F20"/>
        </w:rPr>
        <w:t xml:space="preserve"> </w:t>
      </w:r>
      <w:r>
        <w:rPr>
          <w:color w:val="231F20"/>
        </w:rPr>
        <w:t>dismissed.</w:t>
      </w:r>
    </w:p>
    <w:p w14:paraId="1D5A9AB8" w14:textId="77777777" w:rsidR="0057744C" w:rsidRPr="00ED1338" w:rsidRDefault="0057744C" w:rsidP="00ED1338">
      <w:pPr>
        <w:pStyle w:val="Heading4"/>
        <w:tabs>
          <w:tab w:val="left" w:pos="720"/>
        </w:tabs>
        <w:spacing w:before="0" w:line="241" w:lineRule="exact"/>
        <w:ind w:left="0"/>
        <w:rPr>
          <w:color w:val="231F20"/>
        </w:rPr>
      </w:pPr>
      <w:r>
        <w:rPr>
          <w:color w:val="231F20"/>
        </w:rPr>
        <w:t>§</w:t>
      </w:r>
      <w:r w:rsidRPr="00ED1338">
        <w:rPr>
          <w:color w:val="231F20"/>
        </w:rPr>
        <w:t xml:space="preserve"> </w:t>
      </w:r>
      <w:r>
        <w:rPr>
          <w:color w:val="231F20"/>
        </w:rPr>
        <w:t>18.24</w:t>
      </w:r>
      <w:r>
        <w:rPr>
          <w:color w:val="231F20"/>
        </w:rPr>
        <w:tab/>
        <w:t>Estoppel</w:t>
      </w:r>
    </w:p>
    <w:p w14:paraId="37EE3F10" w14:textId="77777777" w:rsidR="00C42FE7" w:rsidRDefault="00C42FE7" w:rsidP="00770535">
      <w:pPr>
        <w:spacing w:before="126"/>
        <w:ind w:left="720"/>
      </w:pPr>
      <w:r>
        <w:rPr>
          <w:color w:val="231F20"/>
        </w:rPr>
        <w:t>2016—</w:t>
      </w:r>
      <w:r>
        <w:rPr>
          <w:i/>
          <w:color w:val="231F20"/>
        </w:rPr>
        <w:t>Mikhaylov v. Sales</w:t>
      </w:r>
      <w:r>
        <w:rPr>
          <w:color w:val="231F20"/>
        </w:rPr>
        <w:t>, 291 Va. 349, 784 S.E.2d 286.</w:t>
      </w:r>
    </w:p>
    <w:p w14:paraId="49F627D2" w14:textId="77777777" w:rsidR="00C42FE7" w:rsidRPr="00362076" w:rsidRDefault="00C42FE7" w:rsidP="00362076">
      <w:pPr>
        <w:pStyle w:val="BodyText"/>
        <w:spacing w:before="120" w:after="120"/>
        <w:ind w:left="1440"/>
        <w:jc w:val="both"/>
        <w:rPr>
          <w:color w:val="231F20"/>
        </w:rPr>
      </w:pPr>
      <w:r>
        <w:rPr>
          <w:color w:val="231F20"/>
        </w:rPr>
        <w:t>Judicial estoppel is not applicable in an instance like this where the plaintiff in a civil assault and battery action is attempting to use a prior plea to the criminal charge since there is not an identity of parties.</w:t>
      </w:r>
    </w:p>
    <w:p w14:paraId="0362896C" w14:textId="77777777" w:rsidR="009910CD" w:rsidRPr="00B44784" w:rsidRDefault="00FC2690" w:rsidP="00B44784">
      <w:pPr>
        <w:pStyle w:val="Heading4"/>
        <w:tabs>
          <w:tab w:val="left" w:pos="720"/>
        </w:tabs>
        <w:spacing w:before="0" w:line="241" w:lineRule="exact"/>
        <w:ind w:left="0"/>
        <w:rPr>
          <w:color w:val="231F20"/>
        </w:rPr>
      </w:pPr>
      <w:r>
        <w:rPr>
          <w:color w:val="231F20"/>
        </w:rPr>
        <w:t>§</w:t>
      </w:r>
      <w:r w:rsidRPr="00B44784">
        <w:rPr>
          <w:color w:val="231F20"/>
        </w:rPr>
        <w:t xml:space="preserve"> </w:t>
      </w:r>
      <w:r>
        <w:rPr>
          <w:color w:val="231F20"/>
        </w:rPr>
        <w:t>18.27</w:t>
      </w:r>
      <w:r>
        <w:rPr>
          <w:color w:val="231F20"/>
        </w:rPr>
        <w:tab/>
        <w:t>Instructions</w:t>
      </w:r>
    </w:p>
    <w:p w14:paraId="763E9773" w14:textId="77777777" w:rsidR="009910CD" w:rsidRDefault="00FC2690" w:rsidP="00AF062B">
      <w:pPr>
        <w:tabs>
          <w:tab w:val="left" w:pos="2121"/>
        </w:tabs>
        <w:spacing w:before="86"/>
        <w:ind w:left="1170" w:hanging="450"/>
        <w:rPr>
          <w:b/>
        </w:rPr>
      </w:pPr>
      <w:r>
        <w:rPr>
          <w:b/>
          <w:color w:val="231F20"/>
        </w:rPr>
        <w:t>[5]</w:t>
      </w:r>
      <w:r>
        <w:rPr>
          <w:b/>
          <w:color w:val="231F20"/>
        </w:rPr>
        <w:tab/>
        <w:t>Miscellaneous</w:t>
      </w:r>
    </w:p>
    <w:p w14:paraId="5A44FEDA" w14:textId="77777777" w:rsidR="009910CD" w:rsidRDefault="00FC2690" w:rsidP="00770535">
      <w:pPr>
        <w:spacing w:before="125"/>
        <w:ind w:left="720"/>
      </w:pPr>
      <w:r>
        <w:rPr>
          <w:color w:val="231F20"/>
        </w:rPr>
        <w:t>2010—</w:t>
      </w:r>
      <w:r>
        <w:rPr>
          <w:i/>
          <w:color w:val="231F20"/>
        </w:rPr>
        <w:t>Hawthorne v.</w:t>
      </w:r>
      <w:r w:rsidR="00B64C57">
        <w:rPr>
          <w:i/>
          <w:color w:val="231F20"/>
        </w:rPr>
        <w:t xml:space="preserve"> </w:t>
      </w:r>
      <w:r>
        <w:rPr>
          <w:i/>
          <w:color w:val="231F20"/>
        </w:rPr>
        <w:t>VanMarter</w:t>
      </w:r>
      <w:r>
        <w:rPr>
          <w:color w:val="231F20"/>
        </w:rPr>
        <w:t>, 279 Va.</w:t>
      </w:r>
      <w:r w:rsidR="00B64C57">
        <w:rPr>
          <w:color w:val="231F20"/>
        </w:rPr>
        <w:t xml:space="preserve"> </w:t>
      </w:r>
      <w:r>
        <w:rPr>
          <w:color w:val="231F20"/>
        </w:rPr>
        <w:t>566, 692 S.E.2d</w:t>
      </w:r>
      <w:r w:rsidR="00B64C57">
        <w:rPr>
          <w:color w:val="231F20"/>
        </w:rPr>
        <w:t xml:space="preserve"> </w:t>
      </w:r>
      <w:r>
        <w:rPr>
          <w:color w:val="231F20"/>
        </w:rPr>
        <w:t>226.</w:t>
      </w:r>
    </w:p>
    <w:p w14:paraId="23F1D693" w14:textId="7CE11D82" w:rsidR="009910CD" w:rsidRDefault="00FC2690" w:rsidP="00362076">
      <w:pPr>
        <w:pStyle w:val="BodyText"/>
        <w:spacing w:before="120" w:after="120"/>
        <w:ind w:left="1440"/>
        <w:jc w:val="both"/>
        <w:rPr>
          <w:color w:val="231F20"/>
        </w:rPr>
      </w:pPr>
      <w:r>
        <w:rPr>
          <w:color w:val="231F20"/>
        </w:rPr>
        <w:t>Whether jury instruction accurately states the relevant law is a question of law and is reviewed de</w:t>
      </w:r>
      <w:r w:rsidR="00B64C57">
        <w:rPr>
          <w:color w:val="231F20"/>
        </w:rPr>
        <w:t xml:space="preserve"> </w:t>
      </w:r>
      <w:r>
        <w:rPr>
          <w:color w:val="231F20"/>
        </w:rPr>
        <w:t>novo.</w:t>
      </w:r>
    </w:p>
    <w:p w14:paraId="0FC19607" w14:textId="02AD0708" w:rsidR="009910CD" w:rsidRPr="005675E5" w:rsidRDefault="00FC2690" w:rsidP="00B44784">
      <w:pPr>
        <w:pStyle w:val="Heading4"/>
        <w:tabs>
          <w:tab w:val="left" w:pos="720"/>
        </w:tabs>
        <w:spacing w:before="0" w:line="241" w:lineRule="exact"/>
        <w:ind w:left="0"/>
      </w:pPr>
      <w:r w:rsidRPr="005675E5">
        <w:t>§ 18.32</w:t>
      </w:r>
      <w:r w:rsidRPr="005675E5">
        <w:tab/>
        <w:t>Jury</w:t>
      </w:r>
    </w:p>
    <w:p w14:paraId="10A54F1B" w14:textId="77777777" w:rsidR="009910CD" w:rsidRDefault="00FC2690" w:rsidP="00AF062B">
      <w:pPr>
        <w:pStyle w:val="ListParagraph"/>
        <w:numPr>
          <w:ilvl w:val="0"/>
          <w:numId w:val="4"/>
        </w:numPr>
        <w:spacing w:before="86"/>
        <w:ind w:left="1170" w:hanging="450"/>
        <w:jc w:val="left"/>
        <w:rPr>
          <w:b/>
        </w:rPr>
      </w:pPr>
      <w:r>
        <w:rPr>
          <w:b/>
          <w:color w:val="231F20"/>
        </w:rPr>
        <w:t>Misconduct</w:t>
      </w:r>
    </w:p>
    <w:p w14:paraId="30D87A01" w14:textId="77777777" w:rsidR="009910CD" w:rsidRDefault="00FC2690" w:rsidP="00770535">
      <w:pPr>
        <w:spacing w:before="126"/>
        <w:ind w:left="720"/>
      </w:pPr>
      <w:r>
        <w:rPr>
          <w:color w:val="231F20"/>
        </w:rPr>
        <w:t>2012—</w:t>
      </w:r>
      <w:r>
        <w:rPr>
          <w:i/>
          <w:color w:val="231F20"/>
        </w:rPr>
        <w:t>Galumbeck v.</w:t>
      </w:r>
      <w:r w:rsidR="00B64C57">
        <w:rPr>
          <w:i/>
          <w:color w:val="231F20"/>
        </w:rPr>
        <w:t xml:space="preserve"> </w:t>
      </w:r>
      <w:r>
        <w:rPr>
          <w:i/>
          <w:color w:val="231F20"/>
        </w:rPr>
        <w:t>Lopez</w:t>
      </w:r>
      <w:r>
        <w:rPr>
          <w:color w:val="231F20"/>
        </w:rPr>
        <w:t>, 283 Va.</w:t>
      </w:r>
      <w:r w:rsidR="00B64C57">
        <w:rPr>
          <w:color w:val="231F20"/>
        </w:rPr>
        <w:t xml:space="preserve"> </w:t>
      </w:r>
      <w:r>
        <w:rPr>
          <w:color w:val="231F20"/>
        </w:rPr>
        <w:t>500, 722 S.E.2d</w:t>
      </w:r>
      <w:r w:rsidR="00B64C57">
        <w:rPr>
          <w:color w:val="231F20"/>
        </w:rPr>
        <w:t xml:space="preserve"> </w:t>
      </w:r>
      <w:r>
        <w:rPr>
          <w:color w:val="231F20"/>
        </w:rPr>
        <w:t>551.</w:t>
      </w:r>
    </w:p>
    <w:p w14:paraId="7BCD3EDE" w14:textId="77777777" w:rsidR="009910CD" w:rsidRDefault="00FC2690" w:rsidP="00362076">
      <w:pPr>
        <w:pStyle w:val="BodyText"/>
        <w:spacing w:before="120" w:after="120"/>
        <w:ind w:left="1440"/>
        <w:jc w:val="both"/>
        <w:rPr>
          <w:color w:val="231F20"/>
        </w:rPr>
      </w:pPr>
      <w:r>
        <w:rPr>
          <w:color w:val="231F20"/>
        </w:rPr>
        <w:t>Interaction between juror and persons who are not on the jury was alleged by defendant, but after inquiry by the Court, the Court was satisfied that the juror explained the actions and mistrial was properly refused.</w:t>
      </w:r>
    </w:p>
    <w:p w14:paraId="0BF1C7EF" w14:textId="77777777" w:rsidR="009910CD" w:rsidRDefault="00FC2690" w:rsidP="00AF062B">
      <w:pPr>
        <w:pStyle w:val="Heading4"/>
        <w:numPr>
          <w:ilvl w:val="0"/>
          <w:numId w:val="4"/>
        </w:numPr>
        <w:spacing w:before="64"/>
        <w:ind w:left="1170" w:hanging="450"/>
        <w:jc w:val="left"/>
      </w:pPr>
      <w:r>
        <w:rPr>
          <w:color w:val="231F20"/>
        </w:rPr>
        <w:t>Right</w:t>
      </w:r>
      <w:r>
        <w:rPr>
          <w:color w:val="231F20"/>
          <w:spacing w:val="16"/>
        </w:rPr>
        <w:t xml:space="preserve"> </w:t>
      </w:r>
      <w:r>
        <w:rPr>
          <w:color w:val="231F20"/>
        </w:rPr>
        <w:t>to</w:t>
      </w:r>
    </w:p>
    <w:p w14:paraId="075BA24E" w14:textId="77777777" w:rsidR="009910CD" w:rsidRDefault="00FC2690" w:rsidP="00770535">
      <w:pPr>
        <w:spacing w:before="141" w:line="250" w:lineRule="exact"/>
        <w:ind w:left="720" w:right="821"/>
      </w:pPr>
      <w:r>
        <w:rPr>
          <w:color w:val="231F20"/>
        </w:rPr>
        <w:t>2010—</w:t>
      </w:r>
      <w:r>
        <w:rPr>
          <w:i/>
          <w:color w:val="231F20"/>
        </w:rPr>
        <w:t>Heinrich Schepers GMBH &amp; Co. v. Whitaker</w:t>
      </w:r>
      <w:r>
        <w:rPr>
          <w:color w:val="231F20"/>
        </w:rPr>
        <w:t>, 280 Va. 507, 702 S.E.2d 573.</w:t>
      </w:r>
    </w:p>
    <w:p w14:paraId="616E49F3" w14:textId="77777777" w:rsidR="008A7D72" w:rsidRDefault="00FC2690" w:rsidP="003F3D37">
      <w:pPr>
        <w:pStyle w:val="BodyText"/>
        <w:spacing w:before="120" w:after="120"/>
        <w:ind w:left="1440"/>
        <w:jc w:val="both"/>
        <w:rPr>
          <w:color w:val="231F20"/>
        </w:rPr>
      </w:pPr>
      <w:r>
        <w:rPr>
          <w:color w:val="231F20"/>
        </w:rPr>
        <w:t>Waiver is voluntary and intentional abandonment of a known legal right, advantage or privilege. In this instance, the plaintiff’s waiver of a jury trial was limited to the first trial and did not apply to the retrial.</w:t>
      </w:r>
    </w:p>
    <w:p w14:paraId="329AF587" w14:textId="77777777" w:rsidR="001C0781" w:rsidRDefault="001C0781" w:rsidP="003F3D37">
      <w:pPr>
        <w:pStyle w:val="BodyText"/>
        <w:spacing w:before="120" w:after="120"/>
        <w:ind w:left="1440"/>
        <w:jc w:val="both"/>
        <w:rPr>
          <w:color w:val="231F20"/>
        </w:rPr>
      </w:pPr>
    </w:p>
    <w:p w14:paraId="4A188EE8" w14:textId="77777777" w:rsidR="001C0781" w:rsidRDefault="001C0781" w:rsidP="003F3D37">
      <w:pPr>
        <w:pStyle w:val="BodyText"/>
        <w:spacing w:before="120" w:after="120"/>
        <w:ind w:left="1440"/>
        <w:jc w:val="both"/>
        <w:rPr>
          <w:color w:val="231F20"/>
        </w:rPr>
      </w:pPr>
    </w:p>
    <w:p w14:paraId="4D0C19A4" w14:textId="77777777" w:rsidR="001C0781" w:rsidRPr="003F3D37" w:rsidRDefault="001C0781" w:rsidP="003F3D37">
      <w:pPr>
        <w:pStyle w:val="BodyText"/>
        <w:spacing w:before="120" w:after="120"/>
        <w:ind w:left="1440"/>
        <w:jc w:val="both"/>
        <w:rPr>
          <w:color w:val="231F20"/>
        </w:rPr>
      </w:pPr>
    </w:p>
    <w:p w14:paraId="5F17D148" w14:textId="77777777" w:rsidR="009910CD" w:rsidRDefault="00FC2690" w:rsidP="00AF062B">
      <w:pPr>
        <w:pStyle w:val="Heading4"/>
        <w:numPr>
          <w:ilvl w:val="0"/>
          <w:numId w:val="4"/>
        </w:numPr>
        <w:ind w:left="1170" w:hanging="450"/>
        <w:jc w:val="left"/>
      </w:pPr>
      <w:r>
        <w:rPr>
          <w:color w:val="231F20"/>
        </w:rPr>
        <w:lastRenderedPageBreak/>
        <w:t>Strikes</w:t>
      </w:r>
    </w:p>
    <w:p w14:paraId="2FC4A77A" w14:textId="77777777" w:rsidR="009910CD" w:rsidRDefault="00FC2690" w:rsidP="00770535">
      <w:pPr>
        <w:spacing w:before="136"/>
        <w:ind w:left="720"/>
      </w:pPr>
      <w:r>
        <w:rPr>
          <w:color w:val="231F20"/>
        </w:rPr>
        <w:t>2010—</w:t>
      </w:r>
      <w:r>
        <w:rPr>
          <w:i/>
          <w:color w:val="231F20"/>
        </w:rPr>
        <w:t>Roberts v.</w:t>
      </w:r>
      <w:r w:rsidR="00B64C57">
        <w:rPr>
          <w:i/>
          <w:color w:val="231F20"/>
        </w:rPr>
        <w:t xml:space="preserve"> </w:t>
      </w:r>
      <w:r>
        <w:rPr>
          <w:i/>
          <w:color w:val="231F20"/>
        </w:rPr>
        <w:t>CSX Transp., Inc.</w:t>
      </w:r>
      <w:r>
        <w:rPr>
          <w:color w:val="231F20"/>
        </w:rPr>
        <w:t>, 279 Va.</w:t>
      </w:r>
      <w:r w:rsidR="00B64C57">
        <w:rPr>
          <w:color w:val="231F20"/>
        </w:rPr>
        <w:t xml:space="preserve"> </w:t>
      </w:r>
      <w:r>
        <w:rPr>
          <w:color w:val="231F20"/>
        </w:rPr>
        <w:t>111, 688 S.E.2d</w:t>
      </w:r>
      <w:r w:rsidR="00B64C57">
        <w:rPr>
          <w:color w:val="231F20"/>
        </w:rPr>
        <w:t xml:space="preserve"> </w:t>
      </w:r>
      <w:r>
        <w:rPr>
          <w:color w:val="231F20"/>
        </w:rPr>
        <w:t>178.</w:t>
      </w:r>
    </w:p>
    <w:p w14:paraId="2659B183" w14:textId="77777777" w:rsidR="009910CD" w:rsidRPr="00362076" w:rsidRDefault="00FC2690" w:rsidP="00362076">
      <w:pPr>
        <w:pStyle w:val="BodyText"/>
        <w:spacing w:before="120" w:after="120"/>
        <w:ind w:left="1440"/>
        <w:jc w:val="both"/>
        <w:rPr>
          <w:color w:val="231F20"/>
        </w:rPr>
      </w:pPr>
      <w:r>
        <w:rPr>
          <w:color w:val="231F20"/>
        </w:rPr>
        <w:t>In this FELA claim, trial court improperly refused to strike a potential juror who was a long time stockholder of the defendant railroad thereby forcing the plaintiff to use a peremptory challenge. Judgment is reversed and case remanded for new</w:t>
      </w:r>
      <w:r w:rsidR="00B64C57">
        <w:rPr>
          <w:color w:val="231F20"/>
        </w:rPr>
        <w:t xml:space="preserve"> </w:t>
      </w:r>
      <w:r>
        <w:rPr>
          <w:color w:val="231F20"/>
        </w:rPr>
        <w:t>trial.</w:t>
      </w:r>
    </w:p>
    <w:p w14:paraId="59FBBF49" w14:textId="7A9B3EE6" w:rsidR="009910CD" w:rsidRDefault="00FC2690" w:rsidP="00770535">
      <w:pPr>
        <w:spacing w:before="121"/>
        <w:ind w:left="720"/>
      </w:pPr>
      <w:r>
        <w:rPr>
          <w:color w:val="231F20"/>
        </w:rPr>
        <w:t>2009—</w:t>
      </w:r>
      <w:r>
        <w:rPr>
          <w:i/>
          <w:color w:val="231F20"/>
        </w:rPr>
        <w:t>Robert M. Seh Co. v.</w:t>
      </w:r>
      <w:r w:rsidR="00B64C57">
        <w:rPr>
          <w:i/>
          <w:color w:val="231F20"/>
        </w:rPr>
        <w:t xml:space="preserve"> </w:t>
      </w:r>
      <w:r>
        <w:rPr>
          <w:i/>
          <w:color w:val="231F20"/>
        </w:rPr>
        <w:t>O’Donnell</w:t>
      </w:r>
      <w:r>
        <w:rPr>
          <w:color w:val="231F20"/>
        </w:rPr>
        <w:t>, 277 Va.</w:t>
      </w:r>
      <w:r w:rsidR="00B64C57">
        <w:rPr>
          <w:color w:val="231F20"/>
        </w:rPr>
        <w:t xml:space="preserve"> </w:t>
      </w:r>
      <w:r>
        <w:rPr>
          <w:color w:val="231F20"/>
        </w:rPr>
        <w:t>599, 675 S.E.2d</w:t>
      </w:r>
      <w:r w:rsidR="00B64C57">
        <w:rPr>
          <w:color w:val="231F20"/>
        </w:rPr>
        <w:t xml:space="preserve"> </w:t>
      </w:r>
      <w:r>
        <w:rPr>
          <w:color w:val="231F20"/>
        </w:rPr>
        <w:t>202.</w:t>
      </w:r>
    </w:p>
    <w:p w14:paraId="29E6456A" w14:textId="77777777" w:rsidR="009910CD" w:rsidRPr="00362076" w:rsidRDefault="00FC2690" w:rsidP="00362076">
      <w:pPr>
        <w:pStyle w:val="BodyText"/>
        <w:spacing w:before="120" w:after="120"/>
        <w:ind w:left="1440"/>
        <w:jc w:val="both"/>
        <w:rPr>
          <w:color w:val="231F20"/>
        </w:rPr>
      </w:pPr>
      <w:r>
        <w:rPr>
          <w:color w:val="231F20"/>
        </w:rPr>
        <w:t>Trial court erred in allowing juror to remain on panel where juror had expressed concern about his ability to remain impartial and that statement by the juror that he was partial had never been overcome.</w:t>
      </w:r>
    </w:p>
    <w:p w14:paraId="0201AA96" w14:textId="77777777" w:rsidR="009910CD" w:rsidRDefault="00FC2690" w:rsidP="00AF062B">
      <w:pPr>
        <w:pStyle w:val="Heading4"/>
        <w:tabs>
          <w:tab w:val="left" w:pos="2041"/>
        </w:tabs>
        <w:ind w:left="1170" w:hanging="450"/>
      </w:pPr>
      <w:r>
        <w:rPr>
          <w:color w:val="231F20"/>
        </w:rPr>
        <w:t>[8]</w:t>
      </w:r>
      <w:r>
        <w:rPr>
          <w:color w:val="231F20"/>
        </w:rPr>
        <w:tab/>
      </w:r>
      <w:r>
        <w:rPr>
          <w:color w:val="231F20"/>
          <w:spacing w:val="-6"/>
        </w:rPr>
        <w:t>Voir</w:t>
      </w:r>
      <w:r>
        <w:rPr>
          <w:color w:val="231F20"/>
          <w:spacing w:val="11"/>
        </w:rPr>
        <w:t xml:space="preserve"> </w:t>
      </w:r>
      <w:r>
        <w:rPr>
          <w:color w:val="231F20"/>
        </w:rPr>
        <w:t>Dire</w:t>
      </w:r>
    </w:p>
    <w:p w14:paraId="14F9DD04" w14:textId="77777777" w:rsidR="009910CD" w:rsidRDefault="00FC2690" w:rsidP="00770535">
      <w:pPr>
        <w:spacing w:before="135"/>
        <w:ind w:left="720"/>
      </w:pPr>
      <w:r>
        <w:rPr>
          <w:color w:val="231F20"/>
        </w:rPr>
        <w:t>2010—</w:t>
      </w:r>
      <w:r>
        <w:rPr>
          <w:i/>
          <w:color w:val="231F20"/>
        </w:rPr>
        <w:t>Hawthorne v.</w:t>
      </w:r>
      <w:r w:rsidR="00B64C57">
        <w:rPr>
          <w:i/>
          <w:color w:val="231F20"/>
        </w:rPr>
        <w:t xml:space="preserve"> </w:t>
      </w:r>
      <w:r>
        <w:rPr>
          <w:i/>
          <w:color w:val="231F20"/>
        </w:rPr>
        <w:t>VanMarter</w:t>
      </w:r>
      <w:r>
        <w:rPr>
          <w:color w:val="231F20"/>
        </w:rPr>
        <w:t>, 279 Va.</w:t>
      </w:r>
      <w:r w:rsidR="00B64C57">
        <w:rPr>
          <w:color w:val="231F20"/>
        </w:rPr>
        <w:t xml:space="preserve"> </w:t>
      </w:r>
      <w:r>
        <w:rPr>
          <w:color w:val="231F20"/>
        </w:rPr>
        <w:t>566, 692 S.E.2d</w:t>
      </w:r>
      <w:r w:rsidR="00B64C57">
        <w:rPr>
          <w:color w:val="231F20"/>
        </w:rPr>
        <w:t xml:space="preserve"> </w:t>
      </w:r>
      <w:r>
        <w:rPr>
          <w:color w:val="231F20"/>
        </w:rPr>
        <w:t>226.</w:t>
      </w:r>
    </w:p>
    <w:p w14:paraId="50A08F7D" w14:textId="77777777" w:rsidR="009910CD" w:rsidRDefault="00FC2690" w:rsidP="00362076">
      <w:pPr>
        <w:pStyle w:val="BodyText"/>
        <w:spacing w:before="120" w:after="120"/>
        <w:ind w:left="1440"/>
        <w:jc w:val="both"/>
        <w:rPr>
          <w:color w:val="231F20"/>
        </w:rPr>
      </w:pPr>
      <w:r>
        <w:rPr>
          <w:color w:val="231F20"/>
        </w:rPr>
        <w:t>The extent and method of voir dire is within the sound discretion of the Court.</w:t>
      </w:r>
    </w:p>
    <w:p w14:paraId="3AAD7F42" w14:textId="77777777"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18.33</w:t>
      </w:r>
      <w:r>
        <w:rPr>
          <w:color w:val="231F20"/>
        </w:rPr>
        <w:tab/>
        <w:t>Jurisdiction</w:t>
      </w:r>
    </w:p>
    <w:p w14:paraId="2CF7E071" w14:textId="56DC459A" w:rsidR="003F11FC" w:rsidRDefault="003F11FC" w:rsidP="00795D6F">
      <w:pPr>
        <w:spacing w:before="126"/>
        <w:ind w:left="720" w:right="1060"/>
        <w:rPr>
          <w:color w:val="231F20"/>
        </w:rPr>
      </w:pPr>
      <w:r w:rsidRPr="002F24E0">
        <w:rPr>
          <w:i/>
          <w:iCs/>
          <w:color w:val="231F20"/>
        </w:rPr>
        <w:t>See</w:t>
      </w:r>
      <w:r>
        <w:rPr>
          <w:color w:val="231F20"/>
        </w:rPr>
        <w:t xml:space="preserve"> </w:t>
      </w:r>
      <w:r w:rsidR="002F24E0">
        <w:rPr>
          <w:iCs/>
          <w:color w:val="231F20"/>
        </w:rPr>
        <w:t>Va. Code</w:t>
      </w:r>
      <w:r>
        <w:rPr>
          <w:color w:val="231F20"/>
        </w:rPr>
        <w:t xml:space="preserve"> § 8.01-277.1 as to what does and does </w:t>
      </w:r>
      <w:r w:rsidR="006049E2">
        <w:rPr>
          <w:color w:val="231F20"/>
        </w:rPr>
        <w:t>not constitute</w:t>
      </w:r>
      <w:r>
        <w:rPr>
          <w:color w:val="231F20"/>
        </w:rPr>
        <w:t xml:space="preserve"> a </w:t>
      </w:r>
      <w:r w:rsidR="004C17DC">
        <w:rPr>
          <w:color w:val="231F20"/>
        </w:rPr>
        <w:t>waiver as to personal jurisdiction and service issues.</w:t>
      </w:r>
    </w:p>
    <w:p w14:paraId="0B7E1BD1" w14:textId="7285940E" w:rsidR="00E44FE8" w:rsidRDefault="00E44FE8" w:rsidP="00E44FE8">
      <w:pPr>
        <w:spacing w:before="126"/>
        <w:ind w:left="720"/>
      </w:pPr>
      <w:r>
        <w:rPr>
          <w:color w:val="231F20"/>
        </w:rPr>
        <w:t>2023—</w:t>
      </w:r>
      <w:r>
        <w:rPr>
          <w:i/>
          <w:color w:val="231F20"/>
        </w:rPr>
        <w:t>Carter v. Wake Forest</w:t>
      </w:r>
      <w:r>
        <w:rPr>
          <w:color w:val="231F20"/>
        </w:rPr>
        <w:t>, 76 Va. App. 756, 883 S.E.2d 693.</w:t>
      </w:r>
    </w:p>
    <w:p w14:paraId="7FFDC9E8" w14:textId="20E69E27" w:rsidR="00E44FE8" w:rsidRPr="00362076" w:rsidRDefault="00E44FE8" w:rsidP="00E44FE8">
      <w:pPr>
        <w:pStyle w:val="BodyText"/>
        <w:spacing w:before="120" w:after="120"/>
        <w:ind w:left="1440"/>
        <w:jc w:val="both"/>
        <w:rPr>
          <w:color w:val="231F20"/>
        </w:rPr>
      </w:pPr>
      <w:r>
        <w:rPr>
          <w:color w:val="231F20"/>
        </w:rPr>
        <w:t xml:space="preserve">Decedent had sought medical treatment at Wake Forest in North Carolina. Contact </w:t>
      </w:r>
      <w:r w:rsidR="002C3DC8">
        <w:rPr>
          <w:color w:val="231F20"/>
        </w:rPr>
        <w:t>between patient and medical facility and its employees in North Carolina thereafter was not sufficient to bestow personal jurisdiction on the trial court.  The court dealt with the distinction between general jurisdiction (defendant is essentially at home in the forum state) and specific jurisdiction (defendant purposely avails itself of the privilege of conducting activities within the forum state).</w:t>
      </w:r>
    </w:p>
    <w:p w14:paraId="3B55B249" w14:textId="64EF7F43" w:rsidR="00D50C60" w:rsidRDefault="00D50C60" w:rsidP="00D50C60">
      <w:pPr>
        <w:spacing w:before="126"/>
        <w:ind w:left="720"/>
      </w:pPr>
      <w:r>
        <w:rPr>
          <w:color w:val="231F20"/>
        </w:rPr>
        <w:t>2019—</w:t>
      </w:r>
      <w:r>
        <w:rPr>
          <w:i/>
          <w:color w:val="231F20"/>
        </w:rPr>
        <w:t>Mercer v. Mackinnon</w:t>
      </w:r>
      <w:r>
        <w:rPr>
          <w:color w:val="231F20"/>
        </w:rPr>
        <w:t>, 297 Va. 157, 823 S.E.2d 252.</w:t>
      </w:r>
    </w:p>
    <w:p w14:paraId="61A579E7" w14:textId="78ECB3B4" w:rsidR="00D50C60" w:rsidRPr="00362076" w:rsidRDefault="00D50C60" w:rsidP="00D50C60">
      <w:pPr>
        <w:pStyle w:val="BodyText"/>
        <w:spacing w:before="120" w:after="120"/>
        <w:ind w:left="1440"/>
        <w:jc w:val="both"/>
        <w:rPr>
          <w:color w:val="231F20"/>
        </w:rPr>
      </w:pPr>
      <w:r>
        <w:rPr>
          <w:color w:val="231F20"/>
        </w:rPr>
        <w:t>Administrator of estate sued intestate’s niece alleging improper withdrawal of funds from intestate’s bank account.  Niece did not engage in persistent course of conduct within Virginia and therefore no personal jurisdiction.</w:t>
      </w:r>
    </w:p>
    <w:p w14:paraId="3C6A243F" w14:textId="7B590E6F" w:rsidR="009910CD" w:rsidRDefault="00FC2690" w:rsidP="00795D6F">
      <w:pPr>
        <w:spacing w:before="126"/>
        <w:ind w:left="720"/>
      </w:pPr>
      <w:r>
        <w:rPr>
          <w:color w:val="231F20"/>
        </w:rPr>
        <w:t>2011—</w:t>
      </w:r>
      <w:r>
        <w:rPr>
          <w:i/>
          <w:color w:val="231F20"/>
        </w:rPr>
        <w:t>Davis v.</w:t>
      </w:r>
      <w:r w:rsidR="00B64C57">
        <w:rPr>
          <w:i/>
          <w:color w:val="231F20"/>
        </w:rPr>
        <w:t xml:space="preserve"> </w:t>
      </w:r>
      <w:r>
        <w:rPr>
          <w:i/>
          <w:color w:val="231F20"/>
        </w:rPr>
        <w:t>County of Fairfax</w:t>
      </w:r>
      <w:r>
        <w:rPr>
          <w:color w:val="231F20"/>
        </w:rPr>
        <w:t>, 282 Va.</w:t>
      </w:r>
      <w:r w:rsidR="00B64C57">
        <w:rPr>
          <w:color w:val="231F20"/>
        </w:rPr>
        <w:t xml:space="preserve"> </w:t>
      </w:r>
      <w:r>
        <w:rPr>
          <w:color w:val="231F20"/>
        </w:rPr>
        <w:t>23, 710 S.E.2d</w:t>
      </w:r>
      <w:r w:rsidR="00B64C57">
        <w:rPr>
          <w:color w:val="231F20"/>
        </w:rPr>
        <w:t xml:space="preserve"> </w:t>
      </w:r>
      <w:r>
        <w:rPr>
          <w:color w:val="231F20"/>
        </w:rPr>
        <w:t>466.</w:t>
      </w:r>
    </w:p>
    <w:p w14:paraId="4EFD4C85" w14:textId="42E75DC5" w:rsidR="009910CD" w:rsidRDefault="00FC2690" w:rsidP="00362076">
      <w:pPr>
        <w:pStyle w:val="BodyText"/>
        <w:spacing w:before="120" w:after="120"/>
        <w:ind w:left="1440"/>
        <w:jc w:val="both"/>
        <w:rPr>
          <w:color w:val="231F20"/>
        </w:rPr>
      </w:pPr>
      <w:r>
        <w:rPr>
          <w:color w:val="231F20"/>
        </w:rPr>
        <w:t>Case</w:t>
      </w:r>
      <w:r w:rsidRPr="00362076">
        <w:rPr>
          <w:color w:val="231F20"/>
        </w:rPr>
        <w:t xml:space="preserve"> </w:t>
      </w:r>
      <w:r>
        <w:rPr>
          <w:color w:val="231F20"/>
        </w:rPr>
        <w:t>from</w:t>
      </w:r>
      <w:r w:rsidRPr="00362076">
        <w:rPr>
          <w:color w:val="231F20"/>
        </w:rPr>
        <w:t xml:space="preserve"> </w:t>
      </w:r>
      <w:r>
        <w:rPr>
          <w:color w:val="231F20"/>
        </w:rPr>
        <w:t>General</w:t>
      </w:r>
      <w:r w:rsidRPr="00362076">
        <w:rPr>
          <w:color w:val="231F20"/>
        </w:rPr>
        <w:t xml:space="preserve"> </w:t>
      </w:r>
      <w:r>
        <w:rPr>
          <w:color w:val="231F20"/>
        </w:rPr>
        <w:t>District</w:t>
      </w:r>
      <w:r w:rsidRPr="00362076">
        <w:rPr>
          <w:color w:val="231F20"/>
        </w:rPr>
        <w:t xml:space="preserve"> </w:t>
      </w:r>
      <w:r>
        <w:rPr>
          <w:color w:val="231F20"/>
        </w:rPr>
        <w:t>Court</w:t>
      </w:r>
      <w:r w:rsidRPr="00362076">
        <w:rPr>
          <w:color w:val="231F20"/>
        </w:rPr>
        <w:t xml:space="preserve"> </w:t>
      </w:r>
      <w:r>
        <w:rPr>
          <w:color w:val="231F20"/>
        </w:rPr>
        <w:t>appealed</w:t>
      </w:r>
      <w:r w:rsidRPr="00362076">
        <w:rPr>
          <w:color w:val="231F20"/>
        </w:rPr>
        <w:t xml:space="preserve"> </w:t>
      </w:r>
      <w:r>
        <w:rPr>
          <w:color w:val="231F20"/>
        </w:rPr>
        <w:t>to</w:t>
      </w:r>
      <w:r w:rsidRPr="00362076">
        <w:rPr>
          <w:color w:val="231F20"/>
        </w:rPr>
        <w:t xml:space="preserve"> </w:t>
      </w:r>
      <w:r>
        <w:rPr>
          <w:color w:val="231F20"/>
        </w:rPr>
        <w:t>Circuit</w:t>
      </w:r>
      <w:r w:rsidRPr="00362076">
        <w:rPr>
          <w:color w:val="231F20"/>
        </w:rPr>
        <w:t xml:space="preserve"> </w:t>
      </w:r>
      <w:r>
        <w:rPr>
          <w:color w:val="231F20"/>
        </w:rPr>
        <w:t>Court</w:t>
      </w:r>
      <w:r w:rsidRPr="00362076">
        <w:rPr>
          <w:color w:val="231F20"/>
        </w:rPr>
        <w:t xml:space="preserve"> </w:t>
      </w:r>
      <w:r>
        <w:rPr>
          <w:color w:val="231F20"/>
        </w:rPr>
        <w:t>and</w:t>
      </w:r>
      <w:r w:rsidRPr="00362076">
        <w:rPr>
          <w:color w:val="231F20"/>
        </w:rPr>
        <w:t xml:space="preserve"> </w:t>
      </w:r>
      <w:r>
        <w:rPr>
          <w:color w:val="231F20"/>
        </w:rPr>
        <w:t>then non-suited. Plaintiff then re-filed in General District Court. General District Court dismissed due to lack of jurisdiction. The plaintiff then appealed to the Circuit Court and thereafter to the Court of Appeals. The Circuit Court, in the second action, lacked</w:t>
      </w:r>
      <w:r w:rsidRPr="00362076">
        <w:rPr>
          <w:color w:val="231F20"/>
        </w:rPr>
        <w:t xml:space="preserve"> </w:t>
      </w:r>
      <w:r>
        <w:rPr>
          <w:color w:val="231F20"/>
        </w:rPr>
        <w:t>jurisdiction since what plaintiff should have done, after the non-suit, was</w:t>
      </w:r>
      <w:r w:rsidRPr="00362076">
        <w:rPr>
          <w:color w:val="231F20"/>
        </w:rPr>
        <w:t xml:space="preserve"> </w:t>
      </w:r>
      <w:r>
        <w:rPr>
          <w:color w:val="231F20"/>
        </w:rPr>
        <w:t>simply re-file in the Circuit</w:t>
      </w:r>
      <w:r w:rsidR="00B64C57">
        <w:rPr>
          <w:color w:val="231F20"/>
        </w:rPr>
        <w:t xml:space="preserve"> </w:t>
      </w:r>
      <w:r>
        <w:rPr>
          <w:color w:val="231F20"/>
        </w:rPr>
        <w:t>Court.</w:t>
      </w:r>
    </w:p>
    <w:p w14:paraId="7191712F" w14:textId="110D2088" w:rsidR="009933B8" w:rsidRDefault="009933B8" w:rsidP="009933B8">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18.35</w:t>
      </w:r>
      <w:r>
        <w:rPr>
          <w:color w:val="231F20"/>
        </w:rPr>
        <w:tab/>
        <w:t>Law of the Case</w:t>
      </w:r>
    </w:p>
    <w:p w14:paraId="50197445" w14:textId="6EB0AD53" w:rsidR="009933B8" w:rsidRDefault="009933B8" w:rsidP="009933B8">
      <w:pPr>
        <w:spacing w:before="135"/>
        <w:ind w:left="720"/>
        <w:rPr>
          <w:color w:val="231F20"/>
        </w:rPr>
      </w:pPr>
      <w:r>
        <w:rPr>
          <w:color w:val="231F20"/>
        </w:rPr>
        <w:t>2022</w:t>
      </w:r>
      <w:r w:rsidRPr="009F6F0A">
        <w:rPr>
          <w:color w:val="231F20"/>
        </w:rPr>
        <w:t>—</w:t>
      </w:r>
      <w:r>
        <w:rPr>
          <w:i/>
          <w:color w:val="231F20"/>
        </w:rPr>
        <w:t>Boyd v. Weisberg</w:t>
      </w:r>
      <w:r w:rsidRPr="009F6F0A">
        <w:rPr>
          <w:color w:val="231F20"/>
        </w:rPr>
        <w:t xml:space="preserve">, </w:t>
      </w:r>
      <w:r>
        <w:rPr>
          <w:color w:val="231F20"/>
        </w:rPr>
        <w:t>75</w:t>
      </w:r>
      <w:r w:rsidRPr="009F6F0A">
        <w:rPr>
          <w:color w:val="231F20"/>
        </w:rPr>
        <w:t xml:space="preserve"> Va. </w:t>
      </w:r>
      <w:r>
        <w:rPr>
          <w:color w:val="231F20"/>
        </w:rPr>
        <w:t>App. 725</w:t>
      </w:r>
      <w:r w:rsidRPr="009F6F0A">
        <w:rPr>
          <w:color w:val="231F20"/>
        </w:rPr>
        <w:t xml:space="preserve">, </w:t>
      </w:r>
      <w:r>
        <w:rPr>
          <w:color w:val="231F20"/>
        </w:rPr>
        <w:t>879</w:t>
      </w:r>
      <w:r w:rsidRPr="009F6F0A">
        <w:rPr>
          <w:color w:val="231F20"/>
        </w:rPr>
        <w:t xml:space="preserve"> S.E.2d </w:t>
      </w:r>
      <w:r>
        <w:rPr>
          <w:color w:val="231F20"/>
        </w:rPr>
        <w:t>613</w:t>
      </w:r>
      <w:r w:rsidRPr="009F6F0A">
        <w:rPr>
          <w:color w:val="231F20"/>
        </w:rPr>
        <w:t>.</w:t>
      </w:r>
    </w:p>
    <w:p w14:paraId="7B8E5E7E" w14:textId="7199ED03" w:rsidR="009933B8" w:rsidRDefault="009933B8" w:rsidP="009933B8">
      <w:pPr>
        <w:spacing w:before="135"/>
        <w:ind w:left="1440"/>
        <w:jc w:val="both"/>
        <w:rPr>
          <w:color w:val="231F20"/>
        </w:rPr>
      </w:pPr>
      <w:r>
        <w:rPr>
          <w:color w:val="231F20"/>
        </w:rPr>
        <w:t xml:space="preserve">Post-trial motion does not correct failure to object to jury instruction which upon granting became the law of the case, </w:t>
      </w:r>
    </w:p>
    <w:p w14:paraId="1D7EBEB3" w14:textId="77777777" w:rsidR="001C0781" w:rsidRDefault="001C0781" w:rsidP="009933B8">
      <w:pPr>
        <w:spacing w:before="135"/>
        <w:ind w:left="1440"/>
        <w:jc w:val="both"/>
        <w:rPr>
          <w:color w:val="231F20"/>
        </w:rPr>
      </w:pPr>
    </w:p>
    <w:p w14:paraId="54B2D0D1" w14:textId="77777777" w:rsidR="001C0781" w:rsidRDefault="001C0781" w:rsidP="009933B8">
      <w:pPr>
        <w:spacing w:before="135"/>
        <w:ind w:left="1440"/>
        <w:jc w:val="both"/>
        <w:rPr>
          <w:color w:val="231F20"/>
        </w:rPr>
      </w:pPr>
    </w:p>
    <w:p w14:paraId="3E1CADE6" w14:textId="77777777" w:rsidR="001C0781" w:rsidRDefault="001C0781" w:rsidP="009933B8">
      <w:pPr>
        <w:spacing w:before="135"/>
        <w:ind w:left="1440"/>
        <w:jc w:val="both"/>
        <w:rPr>
          <w:color w:val="231F20"/>
        </w:rPr>
      </w:pPr>
    </w:p>
    <w:p w14:paraId="04E5727D" w14:textId="77777777" w:rsidR="001C0781" w:rsidRDefault="001C0781" w:rsidP="009933B8">
      <w:pPr>
        <w:spacing w:before="135"/>
        <w:ind w:left="1440"/>
        <w:jc w:val="both"/>
        <w:rPr>
          <w:color w:val="231F20"/>
        </w:rPr>
      </w:pPr>
    </w:p>
    <w:p w14:paraId="7FC3C7E6" w14:textId="77777777" w:rsidR="009933B8" w:rsidRDefault="009933B8" w:rsidP="00880C19">
      <w:pPr>
        <w:pStyle w:val="Heading4"/>
        <w:tabs>
          <w:tab w:val="left" w:pos="720"/>
        </w:tabs>
        <w:spacing w:before="0" w:line="241" w:lineRule="exact"/>
        <w:ind w:left="0"/>
        <w:rPr>
          <w:color w:val="231F20"/>
        </w:rPr>
      </w:pPr>
    </w:p>
    <w:p w14:paraId="0A98DE3A" w14:textId="42C7A2F7" w:rsidR="00880C19" w:rsidRPr="005675E5" w:rsidRDefault="00880C19" w:rsidP="00880C19">
      <w:pPr>
        <w:pStyle w:val="Heading4"/>
        <w:tabs>
          <w:tab w:val="left" w:pos="720"/>
        </w:tabs>
        <w:spacing w:before="0" w:line="241" w:lineRule="exact"/>
        <w:ind w:left="0"/>
        <w:rPr>
          <w:color w:val="231F20"/>
        </w:rPr>
      </w:pPr>
      <w:r>
        <w:rPr>
          <w:color w:val="231F20"/>
        </w:rPr>
        <w:lastRenderedPageBreak/>
        <w:t>§</w:t>
      </w:r>
      <w:r w:rsidRPr="005675E5">
        <w:rPr>
          <w:color w:val="231F20"/>
        </w:rPr>
        <w:t xml:space="preserve"> </w:t>
      </w:r>
      <w:r>
        <w:rPr>
          <w:color w:val="231F20"/>
        </w:rPr>
        <w:t>18.36</w:t>
      </w:r>
      <w:r>
        <w:rPr>
          <w:color w:val="231F20"/>
        </w:rPr>
        <w:tab/>
        <w:t>Misnomer</w:t>
      </w:r>
    </w:p>
    <w:p w14:paraId="0DA6B01E" w14:textId="258DF843" w:rsidR="00880C19" w:rsidRDefault="00880C19" w:rsidP="00880C19">
      <w:pPr>
        <w:spacing w:before="126"/>
        <w:ind w:left="720"/>
      </w:pPr>
      <w:r>
        <w:rPr>
          <w:color w:val="231F20"/>
        </w:rPr>
        <w:t>2022—</w:t>
      </w:r>
      <w:r>
        <w:rPr>
          <w:i/>
          <w:color w:val="231F20"/>
        </w:rPr>
        <w:t>Edwards v. Omni International Services, Inc.</w:t>
      </w:r>
      <w:r>
        <w:rPr>
          <w:color w:val="231F20"/>
        </w:rPr>
        <w:t>, 301 Va. 125, 8</w:t>
      </w:r>
      <w:r w:rsidR="00085A43">
        <w:rPr>
          <w:color w:val="231F20"/>
        </w:rPr>
        <w:t>72</w:t>
      </w:r>
      <w:r>
        <w:rPr>
          <w:color w:val="231F20"/>
        </w:rPr>
        <w:t xml:space="preserve"> S.E.2d </w:t>
      </w:r>
      <w:r w:rsidR="00085A43">
        <w:rPr>
          <w:color w:val="231F20"/>
        </w:rPr>
        <w:t>428</w:t>
      </w:r>
      <w:r>
        <w:rPr>
          <w:color w:val="231F20"/>
        </w:rPr>
        <w:t>.</w:t>
      </w:r>
    </w:p>
    <w:p w14:paraId="05E3AE0D" w14:textId="054E3765" w:rsidR="00880C19" w:rsidRDefault="00085A43" w:rsidP="00880C19">
      <w:pPr>
        <w:pStyle w:val="BodyText"/>
        <w:spacing w:before="120" w:after="120"/>
        <w:ind w:left="1440"/>
        <w:jc w:val="both"/>
        <w:rPr>
          <w:color w:val="231F20"/>
        </w:rPr>
      </w:pPr>
      <w:r>
        <w:rPr>
          <w:color w:val="231F20"/>
        </w:rPr>
        <w:t xml:space="preserve">Plaintiff sued company “x” who had been a web service company for Omni. Omni was the responsible party. The court stated that plaintiff’s error in that regard was a misnomer and not a misjoinder. In spite of that the refiling against Omni after the statute of limitations had run did not relate back pursuant to Va. Code § 8.01-6 since the plaintiff did not prove the elements of the above Code section. </w:t>
      </w:r>
    </w:p>
    <w:p w14:paraId="7B87AAFF" w14:textId="285D1D01" w:rsidR="00824373" w:rsidRPr="005675E5" w:rsidRDefault="00824373" w:rsidP="00824373">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18.38</w:t>
      </w:r>
      <w:r>
        <w:rPr>
          <w:color w:val="231F20"/>
        </w:rPr>
        <w:tab/>
        <w:t>Motion to Strike</w:t>
      </w:r>
    </w:p>
    <w:p w14:paraId="75FEC524" w14:textId="1928B53E" w:rsidR="001D0606" w:rsidRDefault="001D0606" w:rsidP="00824373">
      <w:pPr>
        <w:spacing w:before="126"/>
        <w:ind w:left="720"/>
        <w:rPr>
          <w:color w:val="231F20"/>
        </w:rPr>
      </w:pPr>
      <w:r>
        <w:rPr>
          <w:i/>
          <w:iCs/>
          <w:color w:val="231F20"/>
        </w:rPr>
        <w:t>See</w:t>
      </w:r>
      <w:r>
        <w:rPr>
          <w:color w:val="231F20"/>
        </w:rPr>
        <w:t xml:space="preserve"> Virginia Code § 8.01-274 as to motions to strike defensive pleadings.</w:t>
      </w:r>
    </w:p>
    <w:p w14:paraId="0559648A" w14:textId="6C2CB86F" w:rsidR="003525FB" w:rsidRDefault="003525FB" w:rsidP="003525FB">
      <w:pPr>
        <w:spacing w:before="126"/>
        <w:ind w:left="720"/>
        <w:rPr>
          <w:color w:val="231F20"/>
        </w:rPr>
      </w:pPr>
      <w:r>
        <w:rPr>
          <w:color w:val="231F20"/>
        </w:rPr>
        <w:t>2023—</w:t>
      </w:r>
      <w:r>
        <w:rPr>
          <w:i/>
          <w:color w:val="231F20"/>
        </w:rPr>
        <w:t>Colas v. Tyree</w:t>
      </w:r>
      <w:r>
        <w:rPr>
          <w:color w:val="231F20"/>
        </w:rPr>
        <w:t>, 882 S.E.2d 625.</w:t>
      </w:r>
    </w:p>
    <w:p w14:paraId="1DAF8B39" w14:textId="47E27032" w:rsidR="003525FB" w:rsidRPr="001D0606" w:rsidRDefault="003525FB" w:rsidP="003525FB">
      <w:pPr>
        <w:spacing w:before="126"/>
        <w:ind w:left="1440"/>
        <w:jc w:val="both"/>
        <w:rPr>
          <w:color w:val="231F20"/>
        </w:rPr>
      </w:pPr>
      <w:r>
        <w:rPr>
          <w:color w:val="231F20"/>
        </w:rPr>
        <w:t>Plaintiff called detective as an adverse witness in this police shooting case. Detective’s uncontradicted testimony dictates that plaintiff’s case be stricken.</w:t>
      </w:r>
    </w:p>
    <w:p w14:paraId="38F5DD88" w14:textId="49F27852" w:rsidR="00824373" w:rsidRDefault="00824373" w:rsidP="00824373">
      <w:pPr>
        <w:spacing w:before="126"/>
        <w:ind w:left="720"/>
        <w:rPr>
          <w:color w:val="231F20"/>
        </w:rPr>
      </w:pPr>
      <w:r>
        <w:rPr>
          <w:color w:val="231F20"/>
        </w:rPr>
        <w:t>2020—</w:t>
      </w:r>
      <w:r>
        <w:rPr>
          <w:i/>
          <w:color w:val="231F20"/>
        </w:rPr>
        <w:t>Tahboub v. Thiagarajah</w:t>
      </w:r>
      <w:r>
        <w:rPr>
          <w:color w:val="231F20"/>
        </w:rPr>
        <w:t>, 298 Va. 366, 837 S.E.2d 752.</w:t>
      </w:r>
    </w:p>
    <w:p w14:paraId="634B680A" w14:textId="54CCF111" w:rsidR="00824373" w:rsidRDefault="00824373" w:rsidP="007A00D1">
      <w:pPr>
        <w:spacing w:before="126"/>
        <w:ind w:left="1440"/>
        <w:jc w:val="both"/>
        <w:rPr>
          <w:color w:val="231F20"/>
        </w:rPr>
      </w:pPr>
      <w:r>
        <w:rPr>
          <w:color w:val="231F20"/>
        </w:rPr>
        <w:t>In this medical malpractice action the trial court struck the case at the conclusion of the plaintiff’s case based upon a failure of sufficient evidence as to the causation issue.  Supreme Court reversed, saying evidence was sufficient.  Even though plaintiff’s evidence on this issue may have been highly discredited, the Court must accept it as true for purposes of a motion to strike.</w:t>
      </w:r>
    </w:p>
    <w:p w14:paraId="36DFFAB8" w14:textId="77777777" w:rsidR="003525FB" w:rsidRDefault="003525FB" w:rsidP="005675E5">
      <w:pPr>
        <w:pStyle w:val="Heading4"/>
        <w:tabs>
          <w:tab w:val="left" w:pos="720"/>
        </w:tabs>
        <w:spacing w:before="0" w:line="241" w:lineRule="exact"/>
        <w:ind w:left="0"/>
        <w:rPr>
          <w:color w:val="231F20"/>
        </w:rPr>
      </w:pPr>
    </w:p>
    <w:p w14:paraId="666D56AB" w14:textId="4FA2E2B4"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18.40</w:t>
      </w:r>
      <w:r>
        <w:rPr>
          <w:color w:val="231F20"/>
        </w:rPr>
        <w:tab/>
        <w:t>Non-Suits</w:t>
      </w:r>
    </w:p>
    <w:p w14:paraId="0BA2BB7C" w14:textId="77777777" w:rsidR="009910CD" w:rsidRDefault="00FC2690" w:rsidP="00AF062B">
      <w:pPr>
        <w:pStyle w:val="ListParagraph"/>
        <w:numPr>
          <w:ilvl w:val="0"/>
          <w:numId w:val="3"/>
        </w:numPr>
        <w:spacing w:before="86"/>
        <w:ind w:left="1170" w:hanging="450"/>
        <w:jc w:val="left"/>
        <w:rPr>
          <w:b/>
        </w:rPr>
      </w:pPr>
      <w:r>
        <w:rPr>
          <w:b/>
          <w:color w:val="231F20"/>
        </w:rPr>
        <w:t>Allowable</w:t>
      </w:r>
    </w:p>
    <w:p w14:paraId="7CFF43F5" w14:textId="77777777" w:rsidR="009910CD" w:rsidRDefault="00FC2690" w:rsidP="00795D6F">
      <w:pPr>
        <w:spacing w:before="139" w:line="240" w:lineRule="exact"/>
        <w:ind w:left="720" w:right="821"/>
      </w:pPr>
      <w:r>
        <w:rPr>
          <w:color w:val="231F20"/>
        </w:rPr>
        <w:t>2012—</w:t>
      </w:r>
      <w:r>
        <w:rPr>
          <w:i/>
          <w:color w:val="231F20"/>
        </w:rPr>
        <w:t>INOVA Health Care Servs. v. Kebaish</w:t>
      </w:r>
      <w:r>
        <w:rPr>
          <w:color w:val="231F20"/>
        </w:rPr>
        <w:t>, 284 Va. 336, 732 S.E.2d 703.</w:t>
      </w:r>
    </w:p>
    <w:p w14:paraId="67DF0BE2" w14:textId="77777777" w:rsidR="009910CD" w:rsidRPr="00362076" w:rsidRDefault="00FC2690" w:rsidP="00362076">
      <w:pPr>
        <w:pStyle w:val="BodyText"/>
        <w:spacing w:before="120" w:after="120"/>
        <w:ind w:left="1440"/>
        <w:jc w:val="both"/>
        <w:rPr>
          <w:color w:val="231F20"/>
        </w:rPr>
      </w:pPr>
      <w:r>
        <w:rPr>
          <w:color w:val="231F20"/>
        </w:rPr>
        <w:t>Prior dismissal in federal court pursuant to Rule 41 is not a non-suit as defined in the Virginia</w:t>
      </w:r>
      <w:r w:rsidR="00B64C57">
        <w:rPr>
          <w:color w:val="231F20"/>
        </w:rPr>
        <w:t xml:space="preserve"> </w:t>
      </w:r>
      <w:r>
        <w:rPr>
          <w:color w:val="231F20"/>
        </w:rPr>
        <w:t>statute.</w:t>
      </w:r>
    </w:p>
    <w:p w14:paraId="72D7BCEF" w14:textId="77777777" w:rsidR="009910CD" w:rsidRDefault="00FC2690" w:rsidP="00795D6F">
      <w:pPr>
        <w:spacing w:before="118"/>
        <w:ind w:left="720"/>
      </w:pPr>
      <w:r>
        <w:rPr>
          <w:color w:val="231F20"/>
        </w:rPr>
        <w:t>2009—</w:t>
      </w:r>
      <w:r>
        <w:rPr>
          <w:i/>
          <w:color w:val="231F20"/>
        </w:rPr>
        <w:t>Martin v.</w:t>
      </w:r>
      <w:r w:rsidR="00B64C57">
        <w:rPr>
          <w:i/>
          <w:color w:val="231F20"/>
        </w:rPr>
        <w:t xml:space="preserve"> </w:t>
      </w:r>
      <w:r>
        <w:rPr>
          <w:i/>
          <w:color w:val="231F20"/>
        </w:rPr>
        <w:t>Duncan</w:t>
      </w:r>
      <w:r>
        <w:rPr>
          <w:color w:val="231F20"/>
        </w:rPr>
        <w:t>, 277 Va.</w:t>
      </w:r>
      <w:r w:rsidR="00B64C57">
        <w:rPr>
          <w:color w:val="231F20"/>
        </w:rPr>
        <w:t xml:space="preserve"> </w:t>
      </w:r>
      <w:r>
        <w:rPr>
          <w:color w:val="231F20"/>
        </w:rPr>
        <w:t>204, 671 S.E.2d</w:t>
      </w:r>
      <w:r w:rsidR="00B64C57">
        <w:rPr>
          <w:color w:val="231F20"/>
        </w:rPr>
        <w:t xml:space="preserve"> </w:t>
      </w:r>
      <w:r>
        <w:rPr>
          <w:color w:val="231F20"/>
        </w:rPr>
        <w:t>151.</w:t>
      </w:r>
    </w:p>
    <w:p w14:paraId="597802E0" w14:textId="77777777" w:rsidR="009910CD" w:rsidRPr="00362076" w:rsidRDefault="00FC2690" w:rsidP="00362076">
      <w:pPr>
        <w:pStyle w:val="BodyText"/>
        <w:spacing w:before="120" w:after="120"/>
        <w:ind w:left="1440"/>
        <w:jc w:val="both"/>
        <w:rPr>
          <w:color w:val="231F20"/>
        </w:rPr>
      </w:pPr>
      <w:r>
        <w:rPr>
          <w:color w:val="231F20"/>
        </w:rPr>
        <w:t>Assessment</w:t>
      </w:r>
      <w:r w:rsidR="00362076">
        <w:rPr>
          <w:color w:val="231F20"/>
        </w:rPr>
        <w:t xml:space="preserve"> </w:t>
      </w:r>
      <w:r>
        <w:rPr>
          <w:color w:val="231F20"/>
        </w:rPr>
        <w:t>of jury costs for takin</w:t>
      </w:r>
      <w:r w:rsidR="00362076">
        <w:rPr>
          <w:color w:val="231F20"/>
        </w:rPr>
        <w:t>g of non-suit during trial wher</w:t>
      </w:r>
      <w:r w:rsidR="00901D29">
        <w:rPr>
          <w:color w:val="231F20"/>
        </w:rPr>
        <w:t>e</w:t>
      </w:r>
      <w:r w:rsidR="00BF6613">
        <w:rPr>
          <w:color w:val="231F20"/>
        </w:rPr>
        <w:t xml:space="preserve"> </w:t>
      </w:r>
      <w:r>
        <w:rPr>
          <w:color w:val="231F20"/>
        </w:rPr>
        <w:t>that was the first non-suit is reversible</w:t>
      </w:r>
      <w:r w:rsidR="00B64C57">
        <w:rPr>
          <w:color w:val="231F20"/>
        </w:rPr>
        <w:t xml:space="preserve"> </w:t>
      </w:r>
      <w:r>
        <w:rPr>
          <w:color w:val="231F20"/>
        </w:rPr>
        <w:t>error.</w:t>
      </w:r>
    </w:p>
    <w:p w14:paraId="6C13347F" w14:textId="77777777" w:rsidR="009910CD" w:rsidRDefault="00FC2690" w:rsidP="005E703E">
      <w:pPr>
        <w:spacing w:before="135"/>
        <w:ind w:left="720"/>
      </w:pPr>
      <w:r>
        <w:rPr>
          <w:color w:val="231F20"/>
        </w:rPr>
        <w:t>2009—</w:t>
      </w:r>
      <w:r>
        <w:rPr>
          <w:i/>
          <w:color w:val="231F20"/>
        </w:rPr>
        <w:t>Johnston Mem. Hosp. v.</w:t>
      </w:r>
      <w:r w:rsidR="00B64C57">
        <w:rPr>
          <w:i/>
          <w:color w:val="231F20"/>
        </w:rPr>
        <w:t xml:space="preserve"> </w:t>
      </w:r>
      <w:r>
        <w:rPr>
          <w:i/>
          <w:color w:val="231F20"/>
        </w:rPr>
        <w:t>Bazemore</w:t>
      </w:r>
      <w:r>
        <w:rPr>
          <w:color w:val="231F20"/>
        </w:rPr>
        <w:t>, 277 Va.</w:t>
      </w:r>
      <w:r w:rsidR="00B64C57">
        <w:rPr>
          <w:color w:val="231F20"/>
        </w:rPr>
        <w:t xml:space="preserve"> </w:t>
      </w:r>
      <w:r>
        <w:rPr>
          <w:color w:val="231F20"/>
        </w:rPr>
        <w:t>308, 672 S.E.2d</w:t>
      </w:r>
      <w:r w:rsidR="00B64C57">
        <w:rPr>
          <w:color w:val="231F20"/>
        </w:rPr>
        <w:t xml:space="preserve"> </w:t>
      </w:r>
      <w:r>
        <w:rPr>
          <w:color w:val="231F20"/>
        </w:rPr>
        <w:t>858.</w:t>
      </w:r>
    </w:p>
    <w:p w14:paraId="37D1E645" w14:textId="77777777" w:rsidR="009910CD" w:rsidRDefault="00FC2690" w:rsidP="00901D29">
      <w:pPr>
        <w:pStyle w:val="BodyText"/>
        <w:spacing w:before="120" w:after="120"/>
        <w:ind w:left="1440"/>
        <w:jc w:val="both"/>
        <w:rPr>
          <w:color w:val="231F20"/>
        </w:rPr>
      </w:pPr>
      <w:r>
        <w:rPr>
          <w:color w:val="231F20"/>
        </w:rPr>
        <w:t>Plaintiff filed complaint alleging wrongful death prior to her qualifying</w:t>
      </w:r>
      <w:r w:rsidRPr="00901D29">
        <w:rPr>
          <w:color w:val="231F20"/>
        </w:rPr>
        <w:t xml:space="preserve"> </w:t>
      </w:r>
      <w:r>
        <w:rPr>
          <w:color w:val="231F20"/>
        </w:rPr>
        <w:t>as</w:t>
      </w:r>
      <w:r w:rsidRPr="00901D29">
        <w:rPr>
          <w:color w:val="231F20"/>
        </w:rPr>
        <w:t xml:space="preserve"> </w:t>
      </w:r>
      <w:r>
        <w:rPr>
          <w:color w:val="231F20"/>
        </w:rPr>
        <w:t>personal</w:t>
      </w:r>
      <w:r w:rsidRPr="00901D29">
        <w:rPr>
          <w:color w:val="231F20"/>
        </w:rPr>
        <w:t xml:space="preserve"> </w:t>
      </w:r>
      <w:r>
        <w:rPr>
          <w:color w:val="231F20"/>
        </w:rPr>
        <w:t>representative.</w:t>
      </w:r>
      <w:r w:rsidRPr="00901D29">
        <w:rPr>
          <w:color w:val="231F20"/>
        </w:rPr>
        <w:t xml:space="preserve"> </w:t>
      </w:r>
      <w:r>
        <w:rPr>
          <w:color w:val="231F20"/>
        </w:rPr>
        <w:t>Plaintiff</w:t>
      </w:r>
      <w:r w:rsidRPr="00901D29">
        <w:rPr>
          <w:color w:val="231F20"/>
        </w:rPr>
        <w:t xml:space="preserve"> </w:t>
      </w:r>
      <w:r>
        <w:rPr>
          <w:color w:val="231F20"/>
        </w:rPr>
        <w:t>thereafter</w:t>
      </w:r>
      <w:r w:rsidRPr="00901D29">
        <w:rPr>
          <w:color w:val="231F20"/>
        </w:rPr>
        <w:t xml:space="preserve"> </w:t>
      </w:r>
      <w:r>
        <w:rPr>
          <w:color w:val="231F20"/>
        </w:rPr>
        <w:t>qualified</w:t>
      </w:r>
      <w:r w:rsidRPr="00901D29">
        <w:rPr>
          <w:color w:val="231F20"/>
        </w:rPr>
        <w:t xml:space="preserve"> </w:t>
      </w:r>
      <w:r>
        <w:rPr>
          <w:color w:val="231F20"/>
        </w:rPr>
        <w:t>as administrator and then non-suited. Circuit Court granted motion to non-suit and denied defendant’s motion to abate the action. The action was a nullity from the beginning since there was no administrator appointed and therefore there was no right to</w:t>
      </w:r>
      <w:r w:rsidRPr="00901D29">
        <w:rPr>
          <w:color w:val="231F20"/>
        </w:rPr>
        <w:t xml:space="preserve"> </w:t>
      </w:r>
      <w:r>
        <w:rPr>
          <w:color w:val="231F20"/>
        </w:rPr>
        <w:t>non-suit.</w:t>
      </w:r>
    </w:p>
    <w:p w14:paraId="1F0744A9" w14:textId="77777777" w:rsidR="009910CD" w:rsidRDefault="00FC2690" w:rsidP="00AF062B">
      <w:pPr>
        <w:pStyle w:val="Heading4"/>
        <w:numPr>
          <w:ilvl w:val="0"/>
          <w:numId w:val="3"/>
        </w:numPr>
        <w:ind w:left="1170" w:hanging="450"/>
        <w:jc w:val="left"/>
      </w:pPr>
      <w:r>
        <w:rPr>
          <w:color w:val="231F20"/>
        </w:rPr>
        <w:t>Effect</w:t>
      </w:r>
    </w:p>
    <w:p w14:paraId="1C8D707E" w14:textId="77777777" w:rsidR="00F306AA" w:rsidRDefault="00F306AA" w:rsidP="00AF062B">
      <w:pPr>
        <w:spacing w:before="126"/>
        <w:ind w:left="720"/>
      </w:pPr>
      <w:r w:rsidRPr="00AF062B">
        <w:rPr>
          <w:color w:val="231F20"/>
        </w:rPr>
        <w:t>2021—</w:t>
      </w:r>
      <w:r w:rsidRPr="00AF062B">
        <w:rPr>
          <w:i/>
          <w:color w:val="231F20"/>
        </w:rPr>
        <w:t>Kosko v. Ramser</w:t>
      </w:r>
      <w:r w:rsidRPr="00AF062B">
        <w:rPr>
          <w:color w:val="231F20"/>
        </w:rPr>
        <w:t>, 299 Va. 684, 857 S.E. 2d 914.</w:t>
      </w:r>
    </w:p>
    <w:p w14:paraId="79214B8A" w14:textId="77777777" w:rsidR="00F306AA" w:rsidRPr="00901D29" w:rsidRDefault="00F306AA" w:rsidP="00AF062B">
      <w:pPr>
        <w:pStyle w:val="BodyText"/>
        <w:spacing w:before="120" w:after="120"/>
        <w:ind w:left="1440"/>
        <w:rPr>
          <w:color w:val="231F20"/>
        </w:rPr>
      </w:pPr>
      <w:r>
        <w:rPr>
          <w:color w:val="231F20"/>
        </w:rPr>
        <w:t>Order of nonsuit is generally a final order and no action may be taken after expiration of 21 days.</w:t>
      </w:r>
    </w:p>
    <w:p w14:paraId="74E1BE3D" w14:textId="4D1B6297" w:rsidR="009910CD" w:rsidRDefault="00FC2690" w:rsidP="005E703E">
      <w:pPr>
        <w:spacing w:before="135"/>
        <w:ind w:left="720"/>
      </w:pPr>
      <w:r>
        <w:rPr>
          <w:color w:val="231F20"/>
        </w:rPr>
        <w:t>2016—</w:t>
      </w:r>
      <w:r>
        <w:rPr>
          <w:i/>
          <w:color w:val="231F20"/>
        </w:rPr>
        <w:t>Richmond v.</w:t>
      </w:r>
      <w:r w:rsidR="00B64C57">
        <w:rPr>
          <w:i/>
          <w:color w:val="231F20"/>
        </w:rPr>
        <w:t xml:space="preserve"> </w:t>
      </w:r>
      <w:r>
        <w:rPr>
          <w:i/>
          <w:color w:val="231F20"/>
        </w:rPr>
        <w:t>Volk</w:t>
      </w:r>
      <w:r>
        <w:rPr>
          <w:color w:val="231F20"/>
        </w:rPr>
        <w:t>, 291 Va.</w:t>
      </w:r>
      <w:r w:rsidR="00B64C57">
        <w:rPr>
          <w:color w:val="231F20"/>
        </w:rPr>
        <w:t xml:space="preserve"> </w:t>
      </w:r>
      <w:r>
        <w:rPr>
          <w:color w:val="231F20"/>
        </w:rPr>
        <w:t>60, 781 S.E.2d</w:t>
      </w:r>
      <w:r w:rsidR="00B64C57">
        <w:rPr>
          <w:color w:val="231F20"/>
        </w:rPr>
        <w:t xml:space="preserve"> </w:t>
      </w:r>
      <w:r>
        <w:rPr>
          <w:color w:val="231F20"/>
        </w:rPr>
        <w:t>191.</w:t>
      </w:r>
    </w:p>
    <w:p w14:paraId="134C28DE" w14:textId="77777777" w:rsidR="009910CD" w:rsidRPr="00901D29" w:rsidRDefault="00FC2690" w:rsidP="00901D29">
      <w:pPr>
        <w:pStyle w:val="BodyText"/>
        <w:spacing w:before="120" w:after="120"/>
        <w:ind w:left="1440"/>
        <w:jc w:val="both"/>
        <w:rPr>
          <w:color w:val="231F20"/>
        </w:rPr>
      </w:pPr>
      <w:r>
        <w:rPr>
          <w:color w:val="231F20"/>
        </w:rPr>
        <w:t>In original Complaint correct defendant involved in auto collision was identified but incorrect last name was used. This was a misnomer. Misnomer was not corrected in the original filing. Case was nonsuited and then refiled within six (6) months. Within the refiled action the defendant was correctly identified. The statute of limitations was tolled.</w:t>
      </w:r>
    </w:p>
    <w:p w14:paraId="6BC8861E" w14:textId="77777777" w:rsidR="009910CD" w:rsidRDefault="00FC2690" w:rsidP="005E703E">
      <w:pPr>
        <w:spacing w:before="121"/>
        <w:ind w:left="720"/>
      </w:pPr>
      <w:r>
        <w:rPr>
          <w:color w:val="231F20"/>
        </w:rPr>
        <w:lastRenderedPageBreak/>
        <w:t>2015—</w:t>
      </w:r>
      <w:r>
        <w:rPr>
          <w:i/>
          <w:color w:val="231F20"/>
        </w:rPr>
        <w:t>Allstate v.</w:t>
      </w:r>
      <w:r w:rsidR="00B64C57">
        <w:rPr>
          <w:i/>
          <w:color w:val="231F20"/>
        </w:rPr>
        <w:t xml:space="preserve"> </w:t>
      </w:r>
      <w:r>
        <w:rPr>
          <w:i/>
          <w:color w:val="231F20"/>
        </w:rPr>
        <w:t>Ploutis</w:t>
      </w:r>
      <w:r>
        <w:rPr>
          <w:color w:val="231F20"/>
        </w:rPr>
        <w:t>, 290 Va.</w:t>
      </w:r>
      <w:r w:rsidR="00B64C57">
        <w:rPr>
          <w:color w:val="231F20"/>
        </w:rPr>
        <w:t xml:space="preserve"> </w:t>
      </w:r>
      <w:r>
        <w:rPr>
          <w:color w:val="231F20"/>
        </w:rPr>
        <w:t>227</w:t>
      </w:r>
      <w:r w:rsidR="00673581">
        <w:rPr>
          <w:color w:val="231F20"/>
        </w:rPr>
        <w:t>, 776 S.E.2d 793</w:t>
      </w:r>
      <w:r>
        <w:rPr>
          <w:color w:val="231F20"/>
        </w:rPr>
        <w:t>.</w:t>
      </w:r>
    </w:p>
    <w:p w14:paraId="06CE12F4" w14:textId="77777777" w:rsidR="009910CD" w:rsidRPr="00901D29" w:rsidRDefault="00FC2690" w:rsidP="00901D29">
      <w:pPr>
        <w:pStyle w:val="BodyText"/>
        <w:spacing w:before="120" w:after="120"/>
        <w:ind w:left="1440"/>
        <w:jc w:val="both"/>
        <w:rPr>
          <w:color w:val="231F20"/>
        </w:rPr>
      </w:pPr>
      <w:r>
        <w:rPr>
          <w:color w:val="231F20"/>
        </w:rPr>
        <w:t>Two (2) year limitation period within insurance policy is not tolled by nonsuit.</w:t>
      </w:r>
    </w:p>
    <w:p w14:paraId="2AB9DD67" w14:textId="77777777" w:rsidR="009910CD" w:rsidRDefault="00FC2690" w:rsidP="005E703E">
      <w:pPr>
        <w:spacing w:before="126" w:line="250" w:lineRule="exact"/>
        <w:ind w:left="720" w:right="821"/>
      </w:pPr>
      <w:r>
        <w:rPr>
          <w:color w:val="231F20"/>
        </w:rPr>
        <w:t>2014—</w:t>
      </w:r>
      <w:r>
        <w:rPr>
          <w:i/>
          <w:color w:val="231F20"/>
        </w:rPr>
        <w:t>Temple v. Mary Washington Hospital</w:t>
      </w:r>
      <w:r>
        <w:rPr>
          <w:color w:val="231F20"/>
        </w:rPr>
        <w:t>, 288 Va. 134, 762 S.E.2d 751.</w:t>
      </w:r>
    </w:p>
    <w:p w14:paraId="376F8C30" w14:textId="77777777" w:rsidR="009910CD" w:rsidRPr="00901D29" w:rsidRDefault="00FC2690" w:rsidP="00901D29">
      <w:pPr>
        <w:pStyle w:val="BodyText"/>
        <w:spacing w:before="120" w:after="120"/>
        <w:ind w:left="1440"/>
        <w:jc w:val="both"/>
        <w:rPr>
          <w:color w:val="231F20"/>
        </w:rPr>
      </w:pPr>
      <w:r>
        <w:rPr>
          <w:color w:val="231F20"/>
        </w:rPr>
        <w:t>Where nonsuit is taken and in re-filed action, prior discovery is incorporated, that only applies to the discovery and not motions, objections, or rulings made in the prior</w:t>
      </w:r>
      <w:r w:rsidR="00B64C57">
        <w:rPr>
          <w:color w:val="231F20"/>
        </w:rPr>
        <w:t xml:space="preserve"> </w:t>
      </w:r>
      <w:r>
        <w:rPr>
          <w:color w:val="231F20"/>
        </w:rPr>
        <w:t>action.</w:t>
      </w:r>
    </w:p>
    <w:p w14:paraId="4D61EA20" w14:textId="6B27F18A" w:rsidR="009910CD" w:rsidRDefault="00FC2690" w:rsidP="005E703E">
      <w:pPr>
        <w:spacing w:before="121"/>
        <w:ind w:left="720"/>
      </w:pPr>
      <w:r>
        <w:rPr>
          <w:color w:val="231F20"/>
        </w:rPr>
        <w:t>2012—</w:t>
      </w:r>
      <w:r>
        <w:rPr>
          <w:i/>
          <w:color w:val="231F20"/>
        </w:rPr>
        <w:t xml:space="preserve">Laws </w:t>
      </w:r>
      <w:r>
        <w:rPr>
          <w:i/>
          <w:color w:val="231F20"/>
          <w:spacing w:val="-9"/>
        </w:rPr>
        <w:t>v.</w:t>
      </w:r>
      <w:r w:rsidR="00B64C57">
        <w:rPr>
          <w:i/>
          <w:color w:val="231F20"/>
          <w:spacing w:val="-9"/>
        </w:rPr>
        <w:t xml:space="preserve"> </w:t>
      </w:r>
      <w:r>
        <w:rPr>
          <w:i/>
          <w:color w:val="231F20"/>
        </w:rPr>
        <w:t>McIlroy</w:t>
      </w:r>
      <w:r>
        <w:rPr>
          <w:color w:val="231F20"/>
        </w:rPr>
        <w:t xml:space="preserve">, 283 </w:t>
      </w:r>
      <w:r>
        <w:rPr>
          <w:color w:val="231F20"/>
          <w:spacing w:val="-9"/>
        </w:rPr>
        <w:t>Va.</w:t>
      </w:r>
      <w:r w:rsidR="00B64C57">
        <w:rPr>
          <w:color w:val="231F20"/>
          <w:spacing w:val="-9"/>
        </w:rPr>
        <w:t xml:space="preserve"> </w:t>
      </w:r>
      <w:r>
        <w:rPr>
          <w:color w:val="231F20"/>
        </w:rPr>
        <w:t>594, 724 S.E.2d</w:t>
      </w:r>
      <w:r>
        <w:rPr>
          <w:color w:val="231F20"/>
          <w:spacing w:val="50"/>
        </w:rPr>
        <w:t xml:space="preserve"> </w:t>
      </w:r>
      <w:r>
        <w:rPr>
          <w:color w:val="231F20"/>
        </w:rPr>
        <w:t>699.</w:t>
      </w:r>
    </w:p>
    <w:p w14:paraId="405F9B8D" w14:textId="77777777" w:rsidR="009910CD" w:rsidRPr="00901D29" w:rsidRDefault="00FC2690" w:rsidP="00901D29">
      <w:pPr>
        <w:pStyle w:val="BodyText"/>
        <w:spacing w:before="120" w:after="120"/>
        <w:ind w:left="1440"/>
        <w:jc w:val="both"/>
        <w:rPr>
          <w:color w:val="231F20"/>
        </w:rPr>
      </w:pPr>
      <w:r>
        <w:rPr>
          <w:color w:val="231F20"/>
        </w:rPr>
        <w:t>Plaintiff requested non-suit. Before non-suit order entered, plaintiff re-filed identical action. The re-filed action deemed by the Supreme Court to be timely within the language of Section</w:t>
      </w:r>
      <w:r w:rsidR="00B64C57">
        <w:rPr>
          <w:color w:val="231F20"/>
        </w:rPr>
        <w:t xml:space="preserve"> </w:t>
      </w:r>
      <w:r>
        <w:rPr>
          <w:color w:val="231F20"/>
        </w:rPr>
        <w:t>8.01-229.</w:t>
      </w:r>
    </w:p>
    <w:p w14:paraId="2EDF4677" w14:textId="77777777" w:rsidR="009910CD" w:rsidRDefault="00FC2690" w:rsidP="005E703E">
      <w:pPr>
        <w:spacing w:before="126" w:line="250" w:lineRule="exact"/>
        <w:ind w:left="720" w:right="676"/>
      </w:pPr>
      <w:r>
        <w:rPr>
          <w:color w:val="231F20"/>
        </w:rPr>
        <w:t>2012—</w:t>
      </w:r>
      <w:r>
        <w:rPr>
          <w:i/>
          <w:color w:val="231F20"/>
        </w:rPr>
        <w:t>McKinney v. Virginia Surgical Associates</w:t>
      </w:r>
      <w:r>
        <w:rPr>
          <w:color w:val="231F20"/>
        </w:rPr>
        <w:t>, 284 Va. 455, 732 S.E.2d 27.</w:t>
      </w:r>
    </w:p>
    <w:p w14:paraId="469F1FB1" w14:textId="77777777" w:rsidR="009910CD" w:rsidRDefault="00FC2690" w:rsidP="00901D29">
      <w:pPr>
        <w:pStyle w:val="BodyText"/>
        <w:spacing w:before="120" w:after="120"/>
        <w:ind w:left="1440"/>
        <w:jc w:val="both"/>
        <w:rPr>
          <w:color w:val="231F20"/>
        </w:rPr>
      </w:pPr>
      <w:r>
        <w:rPr>
          <w:color w:val="231F20"/>
        </w:rPr>
        <w:t>In this medical malpractice action, plaintiff initially brought claim for personal injuries during his lifetime. Personal injury action converted into an action for wrongful death. Plaintiff thereafter non-suited the wrongful death action and two months later filed action for personal injuries suffered by the decedent arising out of the same alleged negligence as a survival action pursuant to Section 8.01-25. There was a single cause of action of which the survival claim</w:t>
      </w:r>
      <w:r w:rsidRPr="00901D29">
        <w:rPr>
          <w:color w:val="231F20"/>
        </w:rPr>
        <w:t xml:space="preserve"> </w:t>
      </w:r>
      <w:r>
        <w:rPr>
          <w:color w:val="231F20"/>
        </w:rPr>
        <w:t>is</w:t>
      </w:r>
      <w:r w:rsidRPr="00901D29">
        <w:rPr>
          <w:color w:val="231F20"/>
        </w:rPr>
        <w:t xml:space="preserve"> </w:t>
      </w:r>
      <w:r>
        <w:rPr>
          <w:color w:val="231F20"/>
        </w:rPr>
        <w:t>a</w:t>
      </w:r>
      <w:r w:rsidRPr="00901D29">
        <w:rPr>
          <w:color w:val="231F20"/>
        </w:rPr>
        <w:t xml:space="preserve"> </w:t>
      </w:r>
      <w:r>
        <w:rPr>
          <w:color w:val="231F20"/>
        </w:rPr>
        <w:t>part</w:t>
      </w:r>
      <w:r w:rsidRPr="00901D29">
        <w:rPr>
          <w:color w:val="231F20"/>
        </w:rPr>
        <w:t xml:space="preserve"> </w:t>
      </w:r>
      <w:r>
        <w:rPr>
          <w:color w:val="231F20"/>
        </w:rPr>
        <w:t>and</w:t>
      </w:r>
      <w:r w:rsidRPr="00901D29">
        <w:rPr>
          <w:color w:val="231F20"/>
        </w:rPr>
        <w:t xml:space="preserve"> </w:t>
      </w:r>
      <w:r>
        <w:rPr>
          <w:color w:val="231F20"/>
        </w:rPr>
        <w:t>therefore</w:t>
      </w:r>
      <w:r w:rsidRPr="00901D29">
        <w:rPr>
          <w:color w:val="231F20"/>
        </w:rPr>
        <w:t xml:space="preserve"> </w:t>
      </w:r>
      <w:r>
        <w:rPr>
          <w:color w:val="231F20"/>
        </w:rPr>
        <w:t>plaintiff</w:t>
      </w:r>
      <w:r w:rsidRPr="00901D29">
        <w:rPr>
          <w:color w:val="231F20"/>
        </w:rPr>
        <w:t xml:space="preserve"> </w:t>
      </w:r>
      <w:r>
        <w:rPr>
          <w:color w:val="231F20"/>
        </w:rPr>
        <w:t>allowed</w:t>
      </w:r>
      <w:r w:rsidRPr="00901D29">
        <w:rPr>
          <w:color w:val="231F20"/>
        </w:rPr>
        <w:t xml:space="preserve"> </w:t>
      </w:r>
      <w:r>
        <w:rPr>
          <w:color w:val="231F20"/>
        </w:rPr>
        <w:t>to</w:t>
      </w:r>
      <w:r w:rsidRPr="00901D29">
        <w:rPr>
          <w:color w:val="231F20"/>
        </w:rPr>
        <w:t xml:space="preserve"> </w:t>
      </w:r>
      <w:r>
        <w:rPr>
          <w:color w:val="231F20"/>
        </w:rPr>
        <w:t>re-file</w:t>
      </w:r>
      <w:r w:rsidRPr="00901D29">
        <w:rPr>
          <w:color w:val="231F20"/>
        </w:rPr>
        <w:t xml:space="preserve"> </w:t>
      </w:r>
      <w:r>
        <w:rPr>
          <w:color w:val="231F20"/>
        </w:rPr>
        <w:t>within</w:t>
      </w:r>
      <w:r w:rsidRPr="00901D29">
        <w:rPr>
          <w:color w:val="231F20"/>
        </w:rPr>
        <w:t xml:space="preserve"> </w:t>
      </w:r>
      <w:r>
        <w:rPr>
          <w:color w:val="231F20"/>
        </w:rPr>
        <w:t>six</w:t>
      </w:r>
      <w:r w:rsidRPr="00901D29">
        <w:rPr>
          <w:color w:val="231F20"/>
        </w:rPr>
        <w:t xml:space="preserve"> </w:t>
      </w:r>
      <w:r>
        <w:rPr>
          <w:color w:val="231F20"/>
        </w:rPr>
        <w:t>(6) months of date of</w:t>
      </w:r>
      <w:r w:rsidR="00B64C57">
        <w:rPr>
          <w:color w:val="231F20"/>
        </w:rPr>
        <w:t xml:space="preserve"> </w:t>
      </w:r>
      <w:r>
        <w:rPr>
          <w:color w:val="231F20"/>
        </w:rPr>
        <w:t>non-suit.</w:t>
      </w:r>
    </w:p>
    <w:p w14:paraId="618FA8AF" w14:textId="77777777"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18.42</w:t>
      </w:r>
      <w:r>
        <w:rPr>
          <w:color w:val="231F20"/>
        </w:rPr>
        <w:tab/>
        <w:t>Orders</w:t>
      </w:r>
    </w:p>
    <w:p w14:paraId="55242D6B" w14:textId="42580337" w:rsidR="009A333D" w:rsidRDefault="009A333D" w:rsidP="009A333D">
      <w:pPr>
        <w:spacing w:before="126"/>
        <w:ind w:left="720"/>
      </w:pPr>
      <w:r>
        <w:rPr>
          <w:color w:val="231F20"/>
        </w:rPr>
        <w:t>2021—</w:t>
      </w:r>
      <w:r>
        <w:rPr>
          <w:i/>
          <w:color w:val="231F20"/>
        </w:rPr>
        <w:t>Kosko v. Ramser</w:t>
      </w:r>
      <w:r>
        <w:rPr>
          <w:color w:val="231F20"/>
        </w:rPr>
        <w:t>, 299 Va. 684, 857 S.E. 2d 914.</w:t>
      </w:r>
    </w:p>
    <w:p w14:paraId="67EF436D" w14:textId="0723A858" w:rsidR="009A333D" w:rsidRPr="00901D29" w:rsidRDefault="009A333D" w:rsidP="009A333D">
      <w:pPr>
        <w:pStyle w:val="BodyText"/>
        <w:spacing w:before="120" w:after="120"/>
        <w:ind w:left="1440"/>
        <w:jc w:val="both"/>
        <w:rPr>
          <w:color w:val="231F20"/>
        </w:rPr>
      </w:pPr>
      <w:r>
        <w:rPr>
          <w:color w:val="231F20"/>
        </w:rPr>
        <w:t>Order of nonsuit is generally a final order and no action may be taken after expiration of 21 days.</w:t>
      </w:r>
    </w:p>
    <w:p w14:paraId="5F47242E" w14:textId="77777777" w:rsidR="009910CD" w:rsidRDefault="00FC2690" w:rsidP="005E703E">
      <w:pPr>
        <w:spacing w:before="126"/>
        <w:ind w:left="720"/>
      </w:pPr>
      <w:r>
        <w:rPr>
          <w:color w:val="231F20"/>
        </w:rPr>
        <w:t>2013—</w:t>
      </w:r>
      <w:r>
        <w:rPr>
          <w:i/>
          <w:color w:val="231F20"/>
        </w:rPr>
        <w:t>Cashion v.</w:t>
      </w:r>
      <w:r w:rsidR="00B64C57">
        <w:rPr>
          <w:i/>
          <w:color w:val="231F20"/>
        </w:rPr>
        <w:t xml:space="preserve"> </w:t>
      </w:r>
      <w:r>
        <w:rPr>
          <w:i/>
          <w:color w:val="231F20"/>
        </w:rPr>
        <w:t>Smith</w:t>
      </w:r>
      <w:r>
        <w:rPr>
          <w:color w:val="231F20"/>
        </w:rPr>
        <w:t>, 286 Va.</w:t>
      </w:r>
      <w:r w:rsidR="00B64C57">
        <w:rPr>
          <w:color w:val="231F20"/>
        </w:rPr>
        <w:t xml:space="preserve"> </w:t>
      </w:r>
      <w:r>
        <w:rPr>
          <w:color w:val="231F20"/>
        </w:rPr>
        <w:t>327, 749 S.E. 2d</w:t>
      </w:r>
      <w:r w:rsidR="00B64C57">
        <w:rPr>
          <w:color w:val="231F20"/>
        </w:rPr>
        <w:t xml:space="preserve"> </w:t>
      </w:r>
      <w:r>
        <w:rPr>
          <w:color w:val="231F20"/>
        </w:rPr>
        <w:t>526.</w:t>
      </w:r>
    </w:p>
    <w:p w14:paraId="4743D40C" w14:textId="77777777" w:rsidR="009910CD" w:rsidRPr="00901D29" w:rsidRDefault="00FC2690" w:rsidP="00901D29">
      <w:pPr>
        <w:pStyle w:val="BodyText"/>
        <w:spacing w:before="120" w:after="120"/>
        <w:ind w:left="1440"/>
        <w:jc w:val="both"/>
        <w:rPr>
          <w:color w:val="231F20"/>
        </w:rPr>
      </w:pPr>
      <w:r>
        <w:rPr>
          <w:color w:val="231F20"/>
        </w:rPr>
        <w:t>Signing an Order as “WE ASK FOR THIS” where objection has otherwise properly been preserved on the record does not constitute waiver of the</w:t>
      </w:r>
      <w:r w:rsidRPr="00901D29">
        <w:rPr>
          <w:color w:val="231F20"/>
        </w:rPr>
        <w:t xml:space="preserve"> </w:t>
      </w:r>
      <w:r>
        <w:rPr>
          <w:color w:val="231F20"/>
        </w:rPr>
        <w:t>objection.</w:t>
      </w:r>
    </w:p>
    <w:p w14:paraId="102ABA50" w14:textId="77777777" w:rsidR="009910CD" w:rsidRDefault="00FC2690" w:rsidP="005E703E">
      <w:pPr>
        <w:spacing w:before="118"/>
        <w:ind w:left="720"/>
      </w:pPr>
      <w:r>
        <w:rPr>
          <w:color w:val="231F20"/>
        </w:rPr>
        <w:t>2010—</w:t>
      </w:r>
      <w:r>
        <w:rPr>
          <w:i/>
          <w:color w:val="231F20"/>
        </w:rPr>
        <w:t>Johnson v.</w:t>
      </w:r>
      <w:r w:rsidR="00B64C57">
        <w:rPr>
          <w:i/>
          <w:color w:val="231F20"/>
        </w:rPr>
        <w:t xml:space="preserve"> </w:t>
      </w:r>
      <w:r>
        <w:rPr>
          <w:i/>
          <w:color w:val="231F20"/>
        </w:rPr>
        <w:t>Hart</w:t>
      </w:r>
      <w:r>
        <w:rPr>
          <w:color w:val="231F20"/>
        </w:rPr>
        <w:t>, 279 Va.</w:t>
      </w:r>
      <w:r w:rsidR="00B64C57">
        <w:rPr>
          <w:color w:val="231F20"/>
        </w:rPr>
        <w:t xml:space="preserve"> </w:t>
      </w:r>
      <w:r>
        <w:rPr>
          <w:color w:val="231F20"/>
        </w:rPr>
        <w:t>617, 692 S.E.2d</w:t>
      </w:r>
      <w:r w:rsidR="00B64C57">
        <w:rPr>
          <w:color w:val="231F20"/>
        </w:rPr>
        <w:t xml:space="preserve"> </w:t>
      </w:r>
      <w:r>
        <w:rPr>
          <w:color w:val="231F20"/>
        </w:rPr>
        <w:t>239.</w:t>
      </w:r>
    </w:p>
    <w:p w14:paraId="523A3C65" w14:textId="77777777" w:rsidR="009910CD" w:rsidRPr="00901D29" w:rsidRDefault="00FC2690" w:rsidP="00901D29">
      <w:pPr>
        <w:pStyle w:val="BodyText"/>
        <w:spacing w:before="120" w:after="120"/>
        <w:ind w:left="1440"/>
        <w:jc w:val="both"/>
        <w:rPr>
          <w:color w:val="231F20"/>
        </w:rPr>
      </w:pPr>
      <w:r>
        <w:rPr>
          <w:color w:val="231F20"/>
        </w:rPr>
        <w:t>An attorney who wins on summary judgment and signs the Order</w:t>
      </w:r>
      <w:r w:rsidRPr="00901D29">
        <w:rPr>
          <w:color w:val="231F20"/>
        </w:rPr>
        <w:t xml:space="preserve"> </w:t>
      </w:r>
      <w:r>
        <w:rPr>
          <w:color w:val="231F20"/>
        </w:rPr>
        <w:t xml:space="preserve">as seen and consented to does not thereby waive objections to </w:t>
      </w:r>
      <w:r w:rsidR="00AE3B68">
        <w:rPr>
          <w:color w:val="231F20"/>
        </w:rPr>
        <w:t>previously rulings made by the t</w:t>
      </w:r>
      <w:r>
        <w:rPr>
          <w:color w:val="231F20"/>
        </w:rPr>
        <w:t xml:space="preserve">rial </w:t>
      </w:r>
      <w:r w:rsidR="00AE3B68">
        <w:rPr>
          <w:color w:val="231F20"/>
        </w:rPr>
        <w:t>c</w:t>
      </w:r>
      <w:r>
        <w:rPr>
          <w:color w:val="231F20"/>
        </w:rPr>
        <w:t>ourt to which appropriate objection had been</w:t>
      </w:r>
      <w:r w:rsidRPr="00901D29">
        <w:rPr>
          <w:color w:val="231F20"/>
        </w:rPr>
        <w:t xml:space="preserve"> </w:t>
      </w:r>
      <w:r>
        <w:rPr>
          <w:color w:val="231F20"/>
        </w:rPr>
        <w:t>made.</w:t>
      </w:r>
    </w:p>
    <w:p w14:paraId="1F2BC469" w14:textId="77777777"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18.43</w:t>
      </w:r>
      <w:r>
        <w:rPr>
          <w:color w:val="231F20"/>
        </w:rPr>
        <w:tab/>
        <w:t>Parties</w:t>
      </w:r>
    </w:p>
    <w:p w14:paraId="6D1AC230" w14:textId="6AD20C1B" w:rsidR="00764D2D" w:rsidRDefault="00764D2D" w:rsidP="005E703E">
      <w:pPr>
        <w:spacing w:before="126"/>
        <w:ind w:left="720"/>
        <w:rPr>
          <w:color w:val="231F20"/>
        </w:rPr>
      </w:pPr>
      <w:r w:rsidRPr="002F24E0">
        <w:rPr>
          <w:i/>
          <w:iCs/>
          <w:color w:val="231F20"/>
        </w:rPr>
        <w:t>See</w:t>
      </w:r>
      <w:r>
        <w:rPr>
          <w:color w:val="231F20"/>
        </w:rPr>
        <w:t xml:space="preserve"> </w:t>
      </w:r>
      <w:r w:rsidR="002F24E0">
        <w:rPr>
          <w:iCs/>
          <w:color w:val="231F20"/>
        </w:rPr>
        <w:t>Va.</w:t>
      </w:r>
      <w:r w:rsidRPr="002F24E0">
        <w:rPr>
          <w:iCs/>
          <w:color w:val="231F20"/>
        </w:rPr>
        <w:t xml:space="preserve"> Code</w:t>
      </w:r>
      <w:r>
        <w:rPr>
          <w:color w:val="231F20"/>
        </w:rPr>
        <w:t xml:space="preserve"> §</w:t>
      </w:r>
      <w:r w:rsidR="0098096A">
        <w:rPr>
          <w:color w:val="231F20"/>
        </w:rPr>
        <w:t xml:space="preserve"> 8.01-15.1 as to keeping the plaintiff anonymous in certain circumstances.</w:t>
      </w:r>
    </w:p>
    <w:p w14:paraId="37E991F3" w14:textId="098AD5D8" w:rsidR="00052066" w:rsidRDefault="00052066" w:rsidP="00052066">
      <w:pPr>
        <w:spacing w:before="126"/>
        <w:ind w:left="720"/>
      </w:pPr>
      <w:r>
        <w:rPr>
          <w:color w:val="231F20"/>
        </w:rPr>
        <w:t>2020—</w:t>
      </w:r>
      <w:r>
        <w:rPr>
          <w:i/>
          <w:color w:val="231F20"/>
        </w:rPr>
        <w:t>Hampton v. Meyer</w:t>
      </w:r>
      <w:r>
        <w:rPr>
          <w:color w:val="231F20"/>
        </w:rPr>
        <w:t>, 299 Va. 121, 847 S.E.2d 287.</w:t>
      </w:r>
    </w:p>
    <w:p w14:paraId="1690EEB9" w14:textId="467B6E77" w:rsidR="00052066" w:rsidRPr="00901D29" w:rsidRDefault="00052066" w:rsidP="00052066">
      <w:pPr>
        <w:pStyle w:val="BodyText"/>
        <w:spacing w:before="120" w:after="120"/>
        <w:ind w:left="1440"/>
        <w:jc w:val="both"/>
        <w:rPr>
          <w:color w:val="231F20"/>
        </w:rPr>
      </w:pPr>
      <w:r>
        <w:rPr>
          <w:color w:val="231F20"/>
        </w:rPr>
        <w:t>Complaint that identified driver by wrong first name was simply a misnomer and not a misjoinder.  Case should not have been dismissed.</w:t>
      </w:r>
      <w:r w:rsidR="00E84E78">
        <w:rPr>
          <w:color w:val="231F20"/>
        </w:rPr>
        <w:t xml:space="preserve">  Misnomer is where the correct person has been identified but incorrectly named.  A misjoinder is where the person or entity identified in the pleading was simply not the one against whom the action could or was intended to be brought.  </w:t>
      </w:r>
    </w:p>
    <w:p w14:paraId="3698A7AB" w14:textId="77777777" w:rsidR="006C1434" w:rsidRDefault="006C1434" w:rsidP="005E703E">
      <w:pPr>
        <w:spacing w:before="126"/>
        <w:ind w:left="720"/>
      </w:pPr>
      <w:r>
        <w:rPr>
          <w:color w:val="231F20"/>
        </w:rPr>
        <w:t>2016—</w:t>
      </w:r>
      <w:r>
        <w:rPr>
          <w:i/>
          <w:color w:val="231F20"/>
        </w:rPr>
        <w:t>Lopez-Rosario v. Habib</w:t>
      </w:r>
      <w:r>
        <w:rPr>
          <w:color w:val="231F20"/>
        </w:rPr>
        <w:t>, 291 Va. 293, 785 S.E.2d 214.</w:t>
      </w:r>
    </w:p>
    <w:p w14:paraId="19652B42" w14:textId="77777777" w:rsidR="006C1434" w:rsidRPr="00901D29" w:rsidRDefault="006C1434" w:rsidP="00901D29">
      <w:pPr>
        <w:pStyle w:val="BodyText"/>
        <w:spacing w:before="120" w:after="120"/>
        <w:ind w:left="1440"/>
        <w:jc w:val="both"/>
        <w:rPr>
          <w:color w:val="231F20"/>
        </w:rPr>
      </w:pPr>
      <w:r>
        <w:rPr>
          <w:color w:val="231F20"/>
        </w:rPr>
        <w:t xml:space="preserve">Plaintiff filed suit in her own name even though she had a guardian who had been appointed by the court.  Action </w:t>
      </w:r>
      <w:r w:rsidR="000E6BA0">
        <w:rPr>
          <w:color w:val="231F20"/>
        </w:rPr>
        <w:t>properly dismissed.</w:t>
      </w:r>
    </w:p>
    <w:p w14:paraId="79F4F771" w14:textId="77777777" w:rsidR="001C0781" w:rsidRDefault="001C0781" w:rsidP="005E703E">
      <w:pPr>
        <w:spacing w:before="126"/>
        <w:ind w:left="720"/>
        <w:rPr>
          <w:color w:val="231F20"/>
        </w:rPr>
      </w:pPr>
    </w:p>
    <w:p w14:paraId="47DFB6DD" w14:textId="77777777" w:rsidR="001C0781" w:rsidRDefault="001C0781" w:rsidP="005E703E">
      <w:pPr>
        <w:spacing w:before="126"/>
        <w:ind w:left="720"/>
        <w:rPr>
          <w:color w:val="231F20"/>
        </w:rPr>
      </w:pPr>
    </w:p>
    <w:p w14:paraId="5939382D" w14:textId="45C59486" w:rsidR="009910CD" w:rsidRDefault="00FC2690" w:rsidP="005E703E">
      <w:pPr>
        <w:spacing w:before="126"/>
        <w:ind w:left="720"/>
      </w:pPr>
      <w:r>
        <w:rPr>
          <w:color w:val="231F20"/>
        </w:rPr>
        <w:lastRenderedPageBreak/>
        <w:t>2016—</w:t>
      </w:r>
      <w:r>
        <w:rPr>
          <w:i/>
          <w:color w:val="231F20"/>
        </w:rPr>
        <w:t>Richmond v.</w:t>
      </w:r>
      <w:r w:rsidR="00B64C57">
        <w:rPr>
          <w:i/>
          <w:color w:val="231F20"/>
        </w:rPr>
        <w:t xml:space="preserve"> </w:t>
      </w:r>
      <w:r>
        <w:rPr>
          <w:i/>
          <w:color w:val="231F20"/>
        </w:rPr>
        <w:t>Volk</w:t>
      </w:r>
      <w:r>
        <w:rPr>
          <w:color w:val="231F20"/>
        </w:rPr>
        <w:t>, 291 Va.</w:t>
      </w:r>
      <w:r w:rsidR="00B64C57">
        <w:rPr>
          <w:color w:val="231F20"/>
        </w:rPr>
        <w:t xml:space="preserve"> </w:t>
      </w:r>
      <w:r>
        <w:rPr>
          <w:color w:val="231F20"/>
        </w:rPr>
        <w:t>60, 781 S.E.2d</w:t>
      </w:r>
      <w:r w:rsidR="00B64C57">
        <w:rPr>
          <w:color w:val="231F20"/>
        </w:rPr>
        <w:t xml:space="preserve"> </w:t>
      </w:r>
      <w:r>
        <w:rPr>
          <w:color w:val="231F20"/>
        </w:rPr>
        <w:t>191.</w:t>
      </w:r>
    </w:p>
    <w:p w14:paraId="032CEED8" w14:textId="77777777" w:rsidR="009910CD" w:rsidRPr="00901D29" w:rsidRDefault="00FC2690" w:rsidP="00901D29">
      <w:pPr>
        <w:pStyle w:val="BodyText"/>
        <w:spacing w:before="120" w:after="120"/>
        <w:ind w:left="1440"/>
        <w:jc w:val="both"/>
        <w:rPr>
          <w:color w:val="231F20"/>
        </w:rPr>
      </w:pPr>
      <w:r>
        <w:rPr>
          <w:color w:val="231F20"/>
        </w:rPr>
        <w:t>In original Complaint correct defendant involved in auto collision was identified but incorrect last name was used. This was a misnomer. Misnomer was not corrected in the original filing. Case was nonsuited and then refiled within six (6) months. Within the refiled action the defendant was correctly identified. The statute of limitations was tolled.</w:t>
      </w:r>
    </w:p>
    <w:p w14:paraId="7DE5DFE3" w14:textId="77777777" w:rsidR="009910CD" w:rsidRDefault="00FC2690" w:rsidP="005E703E">
      <w:pPr>
        <w:spacing w:before="118"/>
        <w:ind w:left="720"/>
      </w:pPr>
      <w:r>
        <w:rPr>
          <w:color w:val="231F20"/>
        </w:rPr>
        <w:t>2009—</w:t>
      </w:r>
      <w:r>
        <w:rPr>
          <w:i/>
          <w:color w:val="231F20"/>
        </w:rPr>
        <w:t>Estate of James v.</w:t>
      </w:r>
      <w:r w:rsidR="00B64C57">
        <w:rPr>
          <w:i/>
          <w:color w:val="231F20"/>
        </w:rPr>
        <w:t xml:space="preserve"> </w:t>
      </w:r>
      <w:r>
        <w:rPr>
          <w:i/>
          <w:color w:val="231F20"/>
        </w:rPr>
        <w:t>Peyton</w:t>
      </w:r>
      <w:r>
        <w:rPr>
          <w:color w:val="231F20"/>
        </w:rPr>
        <w:t>, 277 Va.</w:t>
      </w:r>
      <w:r w:rsidR="00B64C57">
        <w:rPr>
          <w:color w:val="231F20"/>
        </w:rPr>
        <w:t xml:space="preserve"> </w:t>
      </w:r>
      <w:r>
        <w:rPr>
          <w:color w:val="231F20"/>
        </w:rPr>
        <w:t>443, 674 S.E.2d</w:t>
      </w:r>
      <w:r w:rsidR="00B64C57">
        <w:rPr>
          <w:color w:val="231F20"/>
        </w:rPr>
        <w:t xml:space="preserve"> </w:t>
      </w:r>
      <w:r>
        <w:rPr>
          <w:color w:val="231F20"/>
        </w:rPr>
        <w:t>864.</w:t>
      </w:r>
    </w:p>
    <w:p w14:paraId="76CB098A" w14:textId="77777777" w:rsidR="009910CD" w:rsidRPr="00901D29" w:rsidRDefault="00FC2690" w:rsidP="00901D29">
      <w:pPr>
        <w:pStyle w:val="BodyText"/>
        <w:spacing w:before="120" w:after="120"/>
        <w:ind w:left="1440"/>
        <w:jc w:val="both"/>
        <w:rPr>
          <w:color w:val="231F20"/>
        </w:rPr>
      </w:pPr>
      <w:r>
        <w:rPr>
          <w:color w:val="231F20"/>
        </w:rPr>
        <w:t xml:space="preserve">Plaintiff filed suit after defendant had passed </w:t>
      </w:r>
      <w:r w:rsidRPr="00901D29">
        <w:rPr>
          <w:color w:val="231F20"/>
        </w:rPr>
        <w:t xml:space="preserve">away. </w:t>
      </w:r>
      <w:r>
        <w:rPr>
          <w:color w:val="231F20"/>
        </w:rPr>
        <w:t>Plaintiff’s counsel was unaware of that and subsequently amended so as to substitute “The Estate of Robert Judson James, Administrator, Edward</w:t>
      </w:r>
      <w:r w:rsidRPr="00901D29">
        <w:rPr>
          <w:color w:val="231F20"/>
        </w:rPr>
        <w:t xml:space="preserve"> F. Gentry, </w:t>
      </w:r>
      <w:r>
        <w:rPr>
          <w:color w:val="231F20"/>
        </w:rPr>
        <w:t>Esquire.”</w:t>
      </w:r>
      <w:r w:rsidRPr="00901D29">
        <w:rPr>
          <w:color w:val="231F20"/>
        </w:rPr>
        <w:t xml:space="preserve"> </w:t>
      </w:r>
      <w:r>
        <w:rPr>
          <w:color w:val="231F20"/>
        </w:rPr>
        <w:t>The</w:t>
      </w:r>
      <w:r w:rsidRPr="00901D29">
        <w:rPr>
          <w:color w:val="231F20"/>
        </w:rPr>
        <w:t xml:space="preserve"> </w:t>
      </w:r>
      <w:r>
        <w:rPr>
          <w:color w:val="231F20"/>
        </w:rPr>
        <w:t>estate</w:t>
      </w:r>
      <w:r w:rsidRPr="00901D29">
        <w:rPr>
          <w:color w:val="231F20"/>
        </w:rPr>
        <w:t xml:space="preserve"> </w:t>
      </w:r>
      <w:r>
        <w:rPr>
          <w:color w:val="231F20"/>
        </w:rPr>
        <w:t>was</w:t>
      </w:r>
      <w:r w:rsidRPr="00901D29">
        <w:rPr>
          <w:color w:val="231F20"/>
        </w:rPr>
        <w:t xml:space="preserve"> </w:t>
      </w:r>
      <w:r>
        <w:rPr>
          <w:color w:val="231F20"/>
        </w:rPr>
        <w:t>not</w:t>
      </w:r>
      <w:r w:rsidRPr="00901D29">
        <w:rPr>
          <w:color w:val="231F20"/>
        </w:rPr>
        <w:t xml:space="preserve"> </w:t>
      </w:r>
      <w:r>
        <w:rPr>
          <w:color w:val="231F20"/>
        </w:rPr>
        <w:t>the</w:t>
      </w:r>
      <w:r w:rsidRPr="00901D29">
        <w:rPr>
          <w:color w:val="231F20"/>
        </w:rPr>
        <w:t xml:space="preserve"> </w:t>
      </w:r>
      <w:r>
        <w:rPr>
          <w:color w:val="231F20"/>
        </w:rPr>
        <w:t>proper</w:t>
      </w:r>
      <w:r w:rsidRPr="00901D29">
        <w:rPr>
          <w:color w:val="231F20"/>
        </w:rPr>
        <w:t xml:space="preserve"> </w:t>
      </w:r>
      <w:r>
        <w:rPr>
          <w:color w:val="231F20"/>
        </w:rPr>
        <w:t>defendant and as such this constitutes a misjoinder, not a misnomer, and therefore the action should be</w:t>
      </w:r>
      <w:r w:rsidR="00B64C57">
        <w:rPr>
          <w:color w:val="231F20"/>
        </w:rPr>
        <w:t xml:space="preserve"> </w:t>
      </w:r>
      <w:r>
        <w:rPr>
          <w:color w:val="231F20"/>
        </w:rPr>
        <w:t>dismissed.</w:t>
      </w:r>
    </w:p>
    <w:p w14:paraId="6639D98F" w14:textId="77777777"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18.44</w:t>
      </w:r>
      <w:r>
        <w:rPr>
          <w:color w:val="231F20"/>
        </w:rPr>
        <w:tab/>
        <w:t>Pleadings</w:t>
      </w:r>
    </w:p>
    <w:p w14:paraId="545C287A" w14:textId="77777777" w:rsidR="003B2FF6" w:rsidRDefault="003B2FF6" w:rsidP="00AF062B">
      <w:pPr>
        <w:tabs>
          <w:tab w:val="left" w:pos="2041"/>
        </w:tabs>
        <w:spacing w:before="86"/>
        <w:ind w:left="1170" w:hanging="450"/>
        <w:rPr>
          <w:b/>
        </w:rPr>
      </w:pPr>
      <w:r>
        <w:rPr>
          <w:b/>
          <w:color w:val="231F20"/>
        </w:rPr>
        <w:t>[4]</w:t>
      </w:r>
      <w:r>
        <w:rPr>
          <w:b/>
          <w:color w:val="231F20"/>
        </w:rPr>
        <w:tab/>
        <w:t>Amendment</w:t>
      </w:r>
    </w:p>
    <w:p w14:paraId="6E89AEE1" w14:textId="7BA086D5" w:rsidR="00764D2D" w:rsidRDefault="00764D2D" w:rsidP="005E703E">
      <w:pPr>
        <w:spacing w:before="135"/>
        <w:ind w:left="720"/>
        <w:rPr>
          <w:color w:val="231F20"/>
        </w:rPr>
      </w:pPr>
      <w:r w:rsidRPr="002F24E0">
        <w:rPr>
          <w:i/>
          <w:iCs/>
          <w:color w:val="231F20"/>
        </w:rPr>
        <w:t>See</w:t>
      </w:r>
      <w:r>
        <w:rPr>
          <w:color w:val="231F20"/>
        </w:rPr>
        <w:t xml:space="preserve"> </w:t>
      </w:r>
      <w:r w:rsidR="002F24E0">
        <w:rPr>
          <w:iCs/>
          <w:color w:val="231F20"/>
        </w:rPr>
        <w:t>Va. Code</w:t>
      </w:r>
      <w:r>
        <w:rPr>
          <w:color w:val="231F20"/>
        </w:rPr>
        <w:t xml:space="preserve"> § 8.01-6, 6.1, 6.2 and 6.3 as to amendment of pleadings.</w:t>
      </w:r>
    </w:p>
    <w:p w14:paraId="3306D06C" w14:textId="77777777" w:rsidR="001D1B19" w:rsidRDefault="001D1B19" w:rsidP="005E703E">
      <w:pPr>
        <w:spacing w:before="135"/>
        <w:ind w:left="720"/>
      </w:pPr>
      <w:r w:rsidRPr="009F6F0A">
        <w:rPr>
          <w:color w:val="231F20"/>
        </w:rPr>
        <w:t>201</w:t>
      </w:r>
      <w:r>
        <w:rPr>
          <w:color w:val="231F20"/>
        </w:rPr>
        <w:t>7</w:t>
      </w:r>
      <w:r w:rsidRPr="009F6F0A">
        <w:rPr>
          <w:color w:val="231F20"/>
        </w:rPr>
        <w:t>—</w:t>
      </w:r>
      <w:r>
        <w:rPr>
          <w:i/>
          <w:color w:val="231F20"/>
        </w:rPr>
        <w:t>Emerald Point, LLC</w:t>
      </w:r>
      <w:r w:rsidRPr="009F6F0A">
        <w:rPr>
          <w:i/>
          <w:color w:val="231F20"/>
        </w:rPr>
        <w:t xml:space="preserve"> v. </w:t>
      </w:r>
      <w:r>
        <w:rPr>
          <w:i/>
          <w:color w:val="231F20"/>
        </w:rPr>
        <w:t>Lindsey Hawkins</w:t>
      </w:r>
      <w:r w:rsidRPr="009F6F0A">
        <w:rPr>
          <w:color w:val="231F20"/>
        </w:rPr>
        <w:t xml:space="preserve">, </w:t>
      </w:r>
      <w:r w:rsidR="001E0BD3">
        <w:rPr>
          <w:color w:val="231F20"/>
        </w:rPr>
        <w:t>294</w:t>
      </w:r>
      <w:r w:rsidRPr="009F6F0A">
        <w:rPr>
          <w:color w:val="231F20"/>
        </w:rPr>
        <w:t xml:space="preserve"> Va. </w:t>
      </w:r>
      <w:r w:rsidR="001E0BD3">
        <w:rPr>
          <w:color w:val="231F20"/>
        </w:rPr>
        <w:t>544</w:t>
      </w:r>
      <w:r w:rsidRPr="009F6F0A">
        <w:rPr>
          <w:color w:val="231F20"/>
        </w:rPr>
        <w:t xml:space="preserve">, </w:t>
      </w:r>
      <w:r>
        <w:rPr>
          <w:color w:val="231F20"/>
        </w:rPr>
        <w:t>808</w:t>
      </w:r>
      <w:r w:rsidRPr="009F6F0A">
        <w:rPr>
          <w:color w:val="231F20"/>
        </w:rPr>
        <w:t xml:space="preserve"> S.E.2d </w:t>
      </w:r>
      <w:r>
        <w:rPr>
          <w:color w:val="231F20"/>
        </w:rPr>
        <w:t>384</w:t>
      </w:r>
      <w:r w:rsidRPr="009F6F0A">
        <w:rPr>
          <w:color w:val="231F20"/>
        </w:rPr>
        <w:t>.</w:t>
      </w:r>
    </w:p>
    <w:p w14:paraId="27767B41" w14:textId="77777777" w:rsidR="001D1B19" w:rsidRDefault="001E0BD3" w:rsidP="00901D29">
      <w:pPr>
        <w:pStyle w:val="BodyText"/>
        <w:spacing w:before="120" w:after="120"/>
        <w:ind w:left="1440"/>
        <w:jc w:val="both"/>
        <w:rPr>
          <w:color w:val="231F20"/>
        </w:rPr>
      </w:pPr>
      <w:r>
        <w:rPr>
          <w:color w:val="231F20"/>
        </w:rPr>
        <w:t xml:space="preserve">It was error for Trial Court to allow amendment of amount sued for after completion of all evidence in this case.  Since case is being remanded then such amendment may be appropriate on remand.  </w:t>
      </w:r>
    </w:p>
    <w:p w14:paraId="0763330D" w14:textId="77777777" w:rsidR="003B2FF6" w:rsidRDefault="003B2FF6" w:rsidP="005E703E">
      <w:pPr>
        <w:spacing w:before="135"/>
        <w:ind w:left="720"/>
      </w:pPr>
      <w:r w:rsidRPr="009F6F0A">
        <w:rPr>
          <w:color w:val="231F20"/>
        </w:rPr>
        <w:t>201</w:t>
      </w:r>
      <w:r>
        <w:rPr>
          <w:color w:val="231F20"/>
        </w:rPr>
        <w:t>6</w:t>
      </w:r>
      <w:r w:rsidRPr="009F6F0A">
        <w:rPr>
          <w:color w:val="231F20"/>
        </w:rPr>
        <w:t>—</w:t>
      </w:r>
      <w:r>
        <w:rPr>
          <w:i/>
          <w:color w:val="231F20"/>
        </w:rPr>
        <w:t>Richmond</w:t>
      </w:r>
      <w:r w:rsidRPr="009F6F0A">
        <w:rPr>
          <w:i/>
          <w:color w:val="231F20"/>
        </w:rPr>
        <w:t xml:space="preserve"> v. </w:t>
      </w:r>
      <w:r>
        <w:rPr>
          <w:i/>
          <w:color w:val="231F20"/>
        </w:rPr>
        <w:t>Volk</w:t>
      </w:r>
      <w:r w:rsidRPr="009F6F0A">
        <w:rPr>
          <w:color w:val="231F20"/>
        </w:rPr>
        <w:t xml:space="preserve">, </w:t>
      </w:r>
      <w:r>
        <w:rPr>
          <w:color w:val="231F20"/>
        </w:rPr>
        <w:t>291</w:t>
      </w:r>
      <w:r w:rsidRPr="009F6F0A">
        <w:rPr>
          <w:color w:val="231F20"/>
        </w:rPr>
        <w:t xml:space="preserve"> Va. </w:t>
      </w:r>
      <w:r>
        <w:rPr>
          <w:color w:val="231F20"/>
        </w:rPr>
        <w:t>60</w:t>
      </w:r>
      <w:r w:rsidRPr="009F6F0A">
        <w:rPr>
          <w:color w:val="231F20"/>
        </w:rPr>
        <w:t>, 7</w:t>
      </w:r>
      <w:r>
        <w:rPr>
          <w:color w:val="231F20"/>
        </w:rPr>
        <w:t>81</w:t>
      </w:r>
      <w:r w:rsidRPr="009F6F0A">
        <w:rPr>
          <w:color w:val="231F20"/>
        </w:rPr>
        <w:t xml:space="preserve"> S.E.2d </w:t>
      </w:r>
      <w:r>
        <w:rPr>
          <w:color w:val="231F20"/>
        </w:rPr>
        <w:t>191</w:t>
      </w:r>
      <w:r w:rsidRPr="009F6F0A">
        <w:rPr>
          <w:color w:val="231F20"/>
        </w:rPr>
        <w:t>.</w:t>
      </w:r>
    </w:p>
    <w:p w14:paraId="03AA2350" w14:textId="6CEDE315" w:rsidR="003B2FF6" w:rsidRDefault="003B2FF6" w:rsidP="00901D29">
      <w:pPr>
        <w:pStyle w:val="BodyText"/>
        <w:spacing w:before="120" w:after="120"/>
        <w:ind w:left="1440"/>
        <w:jc w:val="both"/>
        <w:rPr>
          <w:color w:val="231F20"/>
        </w:rPr>
      </w:pPr>
      <w:r>
        <w:rPr>
          <w:color w:val="231F20"/>
        </w:rPr>
        <w:t>Plaintiff incorrectly used car owner’s last name in naming the defendant.  Suit papers were delivered to the car owner’s address and posted at that address.  Car owner’s insurer discussed the case with the actual defendant.  Plaintiff nonsuited and then refiled within six months, this time correctly naming the defendant.  The original filing was a misnomer which tolled the statute of limitations and as such the six month provision applies.</w:t>
      </w:r>
    </w:p>
    <w:p w14:paraId="408BD573" w14:textId="40E907D3" w:rsidR="00DE609B" w:rsidRDefault="00DE609B" w:rsidP="00AF062B">
      <w:pPr>
        <w:tabs>
          <w:tab w:val="left" w:pos="2041"/>
        </w:tabs>
        <w:spacing w:before="86"/>
        <w:ind w:left="1170" w:hanging="450"/>
        <w:rPr>
          <w:bCs/>
          <w:color w:val="231F20"/>
        </w:rPr>
      </w:pPr>
      <w:r>
        <w:rPr>
          <w:b/>
          <w:color w:val="231F20"/>
        </w:rPr>
        <w:t>[5]</w:t>
      </w:r>
      <w:r>
        <w:rPr>
          <w:b/>
          <w:color w:val="231F20"/>
        </w:rPr>
        <w:tab/>
        <w:t>Defensive Pleadings</w:t>
      </w:r>
    </w:p>
    <w:p w14:paraId="12D68105" w14:textId="77777777" w:rsidR="00DE609B" w:rsidRDefault="00DE609B" w:rsidP="00DE609B">
      <w:pPr>
        <w:spacing w:before="126"/>
        <w:ind w:left="720"/>
        <w:rPr>
          <w:iCs/>
          <w:color w:val="231F20"/>
        </w:rPr>
      </w:pPr>
      <w:r>
        <w:rPr>
          <w:color w:val="231F20"/>
        </w:rPr>
        <w:t>2019—</w:t>
      </w:r>
      <w:r>
        <w:rPr>
          <w:i/>
          <w:color w:val="231F20"/>
        </w:rPr>
        <w:t>Ferguson Enterprises v. FH Furr Plumbing,</w:t>
      </w:r>
      <w:r>
        <w:rPr>
          <w:iCs/>
          <w:color w:val="231F20"/>
        </w:rPr>
        <w:t xml:space="preserve"> 297 Va. 539,  830 S.E.2d 917</w:t>
      </w:r>
    </w:p>
    <w:p w14:paraId="35F62F92" w14:textId="29B8A4E5" w:rsidR="00DE609B" w:rsidRPr="00901D29" w:rsidRDefault="00DE609B" w:rsidP="00901D29">
      <w:pPr>
        <w:pStyle w:val="BodyText"/>
        <w:spacing w:before="120" w:after="120"/>
        <w:ind w:left="1440"/>
        <w:jc w:val="both"/>
        <w:rPr>
          <w:color w:val="231F20"/>
        </w:rPr>
      </w:pPr>
      <w:r>
        <w:rPr>
          <w:color w:val="231F20"/>
        </w:rPr>
        <w:t xml:space="preserve">When </w:t>
      </w:r>
      <w:r w:rsidR="00EA48B6">
        <w:rPr>
          <w:color w:val="231F20"/>
        </w:rPr>
        <w:t>P</w:t>
      </w:r>
      <w:r>
        <w:rPr>
          <w:color w:val="231F20"/>
        </w:rPr>
        <w:t xml:space="preserve">lea in </w:t>
      </w:r>
      <w:r w:rsidR="00EA48B6">
        <w:rPr>
          <w:color w:val="231F20"/>
        </w:rPr>
        <w:t>B</w:t>
      </w:r>
      <w:r>
        <w:rPr>
          <w:color w:val="231F20"/>
        </w:rPr>
        <w:t xml:space="preserve">ar has been filed in response to original Complaint and then Complaint is amended, </w:t>
      </w:r>
      <w:r w:rsidR="00EA48B6">
        <w:rPr>
          <w:color w:val="231F20"/>
        </w:rPr>
        <w:t xml:space="preserve">new Plea in Bar as </w:t>
      </w:r>
      <w:r w:rsidR="00E510B9">
        <w:rPr>
          <w:color w:val="231F20"/>
        </w:rPr>
        <w:t xml:space="preserve">to </w:t>
      </w:r>
      <w:r w:rsidR="00EA48B6">
        <w:rPr>
          <w:color w:val="231F20"/>
        </w:rPr>
        <w:t>the statute of limitations need not be filed.  Rather the matter may be simply heard at trial</w:t>
      </w:r>
      <w:r>
        <w:rPr>
          <w:color w:val="231F20"/>
        </w:rPr>
        <w:t>.</w:t>
      </w:r>
      <w:r w:rsidR="00EA48B6">
        <w:rPr>
          <w:color w:val="231F20"/>
        </w:rPr>
        <w:t xml:space="preserve">  Plea in Bar need not be heard pre-trial.</w:t>
      </w:r>
    </w:p>
    <w:p w14:paraId="31196045" w14:textId="49565900" w:rsidR="009910CD" w:rsidRDefault="00FC2690" w:rsidP="00AF062B">
      <w:pPr>
        <w:tabs>
          <w:tab w:val="left" w:pos="2041"/>
        </w:tabs>
        <w:spacing w:before="86"/>
        <w:ind w:left="1170" w:hanging="450"/>
        <w:rPr>
          <w:b/>
        </w:rPr>
      </w:pPr>
      <w:r>
        <w:rPr>
          <w:b/>
          <w:color w:val="231F20"/>
        </w:rPr>
        <w:t>[6]</w:t>
      </w:r>
      <w:r>
        <w:rPr>
          <w:b/>
          <w:color w:val="231F20"/>
        </w:rPr>
        <w:tab/>
        <w:t>Miscellaneous</w:t>
      </w:r>
    </w:p>
    <w:p w14:paraId="2C22595B" w14:textId="1E783624" w:rsidR="00E96831" w:rsidRDefault="00E96831" w:rsidP="005E703E">
      <w:pPr>
        <w:spacing w:before="126"/>
        <w:ind w:left="720"/>
        <w:rPr>
          <w:color w:val="231F20"/>
        </w:rPr>
      </w:pPr>
      <w:r w:rsidRPr="002F24E0">
        <w:rPr>
          <w:i/>
          <w:iCs/>
          <w:color w:val="231F20"/>
        </w:rPr>
        <w:t>See</w:t>
      </w:r>
      <w:r>
        <w:rPr>
          <w:color w:val="231F20"/>
        </w:rPr>
        <w:t xml:space="preserve"> </w:t>
      </w:r>
      <w:r w:rsidR="002F24E0">
        <w:rPr>
          <w:color w:val="231F20"/>
        </w:rPr>
        <w:t>Va.</w:t>
      </w:r>
      <w:r w:rsidR="00885FD7">
        <w:rPr>
          <w:color w:val="231F20"/>
        </w:rPr>
        <w:t xml:space="preserve"> Code </w:t>
      </w:r>
      <w:r>
        <w:rPr>
          <w:color w:val="231F20"/>
        </w:rPr>
        <w:t>§ 8.01-281 as to pleading in the alternative.</w:t>
      </w:r>
    </w:p>
    <w:p w14:paraId="358F175A" w14:textId="3CCABB45" w:rsidR="009910CD" w:rsidRDefault="00E96831" w:rsidP="005E703E">
      <w:pPr>
        <w:spacing w:before="126"/>
        <w:ind w:left="720"/>
      </w:pPr>
      <w:r>
        <w:rPr>
          <w:color w:val="231F20"/>
        </w:rPr>
        <w:t>2</w:t>
      </w:r>
      <w:r w:rsidR="00FC2690">
        <w:rPr>
          <w:color w:val="231F20"/>
        </w:rPr>
        <w:t>010—</w:t>
      </w:r>
      <w:r w:rsidR="00FC2690">
        <w:rPr>
          <w:i/>
          <w:color w:val="231F20"/>
        </w:rPr>
        <w:t>Aguilera v.</w:t>
      </w:r>
      <w:r w:rsidR="00B64C57">
        <w:rPr>
          <w:i/>
          <w:color w:val="231F20"/>
        </w:rPr>
        <w:t xml:space="preserve"> </w:t>
      </w:r>
      <w:r w:rsidR="00FC2690">
        <w:rPr>
          <w:i/>
          <w:color w:val="231F20"/>
        </w:rPr>
        <w:t>Christian</w:t>
      </w:r>
      <w:r w:rsidR="00FC2690">
        <w:rPr>
          <w:color w:val="231F20"/>
        </w:rPr>
        <w:t>, 280 Va.</w:t>
      </w:r>
      <w:r w:rsidR="00B64C57">
        <w:rPr>
          <w:color w:val="231F20"/>
        </w:rPr>
        <w:t xml:space="preserve"> </w:t>
      </w:r>
      <w:r w:rsidR="00FC2690">
        <w:rPr>
          <w:color w:val="231F20"/>
        </w:rPr>
        <w:t>486, 699 S.E.2d</w:t>
      </w:r>
      <w:r w:rsidR="00B64C57">
        <w:rPr>
          <w:color w:val="231F20"/>
        </w:rPr>
        <w:t xml:space="preserve"> </w:t>
      </w:r>
      <w:r w:rsidR="00FC2690">
        <w:rPr>
          <w:color w:val="231F20"/>
        </w:rPr>
        <w:t>517.</w:t>
      </w:r>
    </w:p>
    <w:p w14:paraId="4D7F9AD5" w14:textId="77777777" w:rsidR="009910CD" w:rsidRPr="00901D29" w:rsidRDefault="00FC2690" w:rsidP="00901D29">
      <w:pPr>
        <w:pStyle w:val="BodyText"/>
        <w:spacing w:before="120" w:after="120"/>
        <w:ind w:left="1440"/>
        <w:jc w:val="both"/>
        <w:rPr>
          <w:color w:val="231F20"/>
        </w:rPr>
      </w:pPr>
      <w:r>
        <w:rPr>
          <w:color w:val="231F20"/>
        </w:rPr>
        <w:t>Pro se plaintiff may not authorize other party to sign Complaint. Such a signature is invalid and the Complaint is a nullity and does not toll the statute of</w:t>
      </w:r>
      <w:r w:rsidR="00B64C57">
        <w:rPr>
          <w:color w:val="231F20"/>
        </w:rPr>
        <w:t xml:space="preserve"> </w:t>
      </w:r>
      <w:r>
        <w:rPr>
          <w:color w:val="231F20"/>
        </w:rPr>
        <w:t>limitations.</w:t>
      </w:r>
    </w:p>
    <w:p w14:paraId="3363ADA1" w14:textId="77777777" w:rsidR="009910CD" w:rsidRDefault="00FC2690" w:rsidP="005E703E">
      <w:pPr>
        <w:spacing w:before="118"/>
        <w:ind w:left="720"/>
      </w:pPr>
      <w:r>
        <w:rPr>
          <w:color w:val="231F20"/>
        </w:rPr>
        <w:t>2010—</w:t>
      </w:r>
      <w:r>
        <w:rPr>
          <w:i/>
          <w:color w:val="231F20"/>
        </w:rPr>
        <w:t>Shipe v.</w:t>
      </w:r>
      <w:r w:rsidR="00B64C57">
        <w:rPr>
          <w:i/>
          <w:color w:val="231F20"/>
        </w:rPr>
        <w:t xml:space="preserve"> </w:t>
      </w:r>
      <w:r>
        <w:rPr>
          <w:i/>
          <w:color w:val="231F20"/>
        </w:rPr>
        <w:t>Hunter</w:t>
      </w:r>
      <w:r>
        <w:rPr>
          <w:color w:val="231F20"/>
        </w:rPr>
        <w:t>, 280 Va.</w:t>
      </w:r>
      <w:r w:rsidR="00B64C57">
        <w:rPr>
          <w:color w:val="231F20"/>
        </w:rPr>
        <w:t xml:space="preserve"> </w:t>
      </w:r>
      <w:r>
        <w:rPr>
          <w:color w:val="231F20"/>
        </w:rPr>
        <w:t>480, 699 S.E.2d</w:t>
      </w:r>
      <w:r w:rsidR="00B64C57">
        <w:rPr>
          <w:color w:val="231F20"/>
        </w:rPr>
        <w:t xml:space="preserve"> </w:t>
      </w:r>
      <w:r>
        <w:rPr>
          <w:color w:val="231F20"/>
        </w:rPr>
        <w:t>519.</w:t>
      </w:r>
    </w:p>
    <w:p w14:paraId="1208C193" w14:textId="7A48A168" w:rsidR="009910CD" w:rsidRDefault="00FC2690" w:rsidP="00901D29">
      <w:pPr>
        <w:pStyle w:val="BodyText"/>
        <w:spacing w:before="120" w:after="120"/>
        <w:ind w:left="1440"/>
        <w:jc w:val="both"/>
        <w:rPr>
          <w:color w:val="231F20"/>
        </w:rPr>
      </w:pPr>
      <w:r>
        <w:rPr>
          <w:color w:val="231F20"/>
        </w:rPr>
        <w:t>Complaint signed by non-Virginia lawyer at direction of Virginia lawyer is inadequate as a matter of law since it does not bear the signature of a Virginia lawyer. The filing of such an action does not toll the statute of</w:t>
      </w:r>
      <w:r w:rsidR="00B64C57">
        <w:rPr>
          <w:color w:val="231F20"/>
        </w:rPr>
        <w:t xml:space="preserve"> </w:t>
      </w:r>
      <w:r>
        <w:rPr>
          <w:color w:val="231F20"/>
        </w:rPr>
        <w:t>limitations.</w:t>
      </w:r>
    </w:p>
    <w:p w14:paraId="70884278" w14:textId="77777777" w:rsidR="00AA69F5" w:rsidRDefault="00AA69F5" w:rsidP="00AA69F5">
      <w:pPr>
        <w:tabs>
          <w:tab w:val="left" w:pos="2041"/>
        </w:tabs>
        <w:spacing w:before="86"/>
        <w:ind w:left="1170" w:hanging="450"/>
        <w:rPr>
          <w:b/>
        </w:rPr>
      </w:pPr>
      <w:r>
        <w:rPr>
          <w:b/>
          <w:color w:val="231F20"/>
        </w:rPr>
        <w:t>[7]</w:t>
      </w:r>
      <w:r>
        <w:rPr>
          <w:b/>
          <w:color w:val="231F20"/>
        </w:rPr>
        <w:tab/>
        <w:t>Sufficiency</w:t>
      </w:r>
    </w:p>
    <w:p w14:paraId="4F64FE9A" w14:textId="12696E03" w:rsidR="00AA69F5" w:rsidRDefault="00AA69F5" w:rsidP="00AA69F5">
      <w:pPr>
        <w:spacing w:before="135"/>
        <w:ind w:left="720"/>
        <w:rPr>
          <w:color w:val="231F20"/>
        </w:rPr>
      </w:pPr>
      <w:r>
        <w:rPr>
          <w:color w:val="231F20"/>
        </w:rPr>
        <w:t>Rule 1:5.A deals with signature defects.</w:t>
      </w:r>
    </w:p>
    <w:p w14:paraId="3172E5F6" w14:textId="77777777" w:rsidR="001C0781" w:rsidRPr="00901D29" w:rsidRDefault="001C0781" w:rsidP="00AA69F5">
      <w:pPr>
        <w:spacing w:before="135"/>
        <w:ind w:left="720"/>
        <w:rPr>
          <w:color w:val="231F20"/>
        </w:rPr>
      </w:pPr>
    </w:p>
    <w:p w14:paraId="74F6CDD6" w14:textId="77777777" w:rsidR="009910CD" w:rsidRDefault="00FC2690" w:rsidP="00AF062B">
      <w:pPr>
        <w:pStyle w:val="Heading4"/>
        <w:tabs>
          <w:tab w:val="left" w:pos="2041"/>
        </w:tabs>
        <w:spacing w:before="78"/>
        <w:ind w:left="1170" w:hanging="450"/>
      </w:pPr>
      <w:r>
        <w:rPr>
          <w:color w:val="231F20"/>
        </w:rPr>
        <w:lastRenderedPageBreak/>
        <w:t>[8]</w:t>
      </w:r>
      <w:r>
        <w:rPr>
          <w:color w:val="231F20"/>
        </w:rPr>
        <w:tab/>
      </w:r>
      <w:r>
        <w:rPr>
          <w:color w:val="231F20"/>
          <w:spacing w:val="-3"/>
        </w:rPr>
        <w:t>Variance</w:t>
      </w:r>
    </w:p>
    <w:p w14:paraId="3B4375BE" w14:textId="77777777" w:rsidR="009910CD" w:rsidRDefault="00FC2690" w:rsidP="005E703E">
      <w:pPr>
        <w:spacing w:before="126"/>
        <w:ind w:left="720"/>
      </w:pPr>
      <w:r>
        <w:rPr>
          <w:color w:val="231F20"/>
        </w:rPr>
        <w:t>2010—</w:t>
      </w:r>
      <w:r>
        <w:rPr>
          <w:i/>
          <w:color w:val="231F20"/>
        </w:rPr>
        <w:t>Syed v.</w:t>
      </w:r>
      <w:r w:rsidR="00B64C57">
        <w:rPr>
          <w:i/>
          <w:color w:val="231F20"/>
        </w:rPr>
        <w:t xml:space="preserve"> </w:t>
      </w:r>
      <w:r>
        <w:rPr>
          <w:i/>
          <w:color w:val="231F20"/>
        </w:rPr>
        <w:t>ZH Technologies</w:t>
      </w:r>
      <w:r>
        <w:rPr>
          <w:color w:val="231F20"/>
        </w:rPr>
        <w:t>, 280 Va.</w:t>
      </w:r>
      <w:r w:rsidR="00B64C57">
        <w:rPr>
          <w:color w:val="231F20"/>
        </w:rPr>
        <w:t xml:space="preserve"> </w:t>
      </w:r>
      <w:r>
        <w:rPr>
          <w:color w:val="231F20"/>
        </w:rPr>
        <w:t>58, 694 S.E.2d</w:t>
      </w:r>
      <w:r w:rsidR="00B64C57">
        <w:rPr>
          <w:color w:val="231F20"/>
        </w:rPr>
        <w:t xml:space="preserve"> </w:t>
      </w:r>
      <w:r>
        <w:rPr>
          <w:color w:val="231F20"/>
        </w:rPr>
        <w:t>625.</w:t>
      </w:r>
    </w:p>
    <w:p w14:paraId="2608BC30" w14:textId="77777777" w:rsidR="009910CD" w:rsidRPr="00901D29" w:rsidRDefault="00FC2690" w:rsidP="00901D29">
      <w:pPr>
        <w:pStyle w:val="BodyText"/>
        <w:spacing w:before="120" w:after="120"/>
        <w:ind w:left="1440"/>
        <w:jc w:val="both"/>
        <w:rPr>
          <w:color w:val="231F20"/>
        </w:rPr>
      </w:pPr>
      <w:r>
        <w:rPr>
          <w:color w:val="231F20"/>
        </w:rPr>
        <w:t xml:space="preserve">Plaintiff pled </w:t>
      </w:r>
      <w:r w:rsidR="00550B7E">
        <w:rPr>
          <w:color w:val="231F20"/>
        </w:rPr>
        <w:t>breach</w:t>
      </w:r>
      <w:r>
        <w:rPr>
          <w:color w:val="231F20"/>
        </w:rPr>
        <w:t xml:space="preserve"> of fiduciary duty by defendant as employee.</w:t>
      </w:r>
      <w:r w:rsidR="005E703E">
        <w:rPr>
          <w:color w:val="231F20"/>
        </w:rPr>
        <w:t xml:space="preserve">  </w:t>
      </w:r>
      <w:r>
        <w:rPr>
          <w:color w:val="231F20"/>
        </w:rPr>
        <w:t xml:space="preserve">Defendant denied he was an employee. </w:t>
      </w:r>
      <w:r w:rsidRPr="00901D29">
        <w:rPr>
          <w:color w:val="231F20"/>
        </w:rPr>
        <w:t xml:space="preserve">To </w:t>
      </w:r>
      <w:r>
        <w:rPr>
          <w:color w:val="231F20"/>
        </w:rPr>
        <w:t>allow plaintiff to</w:t>
      </w:r>
      <w:r w:rsidRPr="00901D29">
        <w:rPr>
          <w:color w:val="231F20"/>
        </w:rPr>
        <w:t xml:space="preserve"> </w:t>
      </w:r>
      <w:r>
        <w:rPr>
          <w:color w:val="231F20"/>
        </w:rPr>
        <w:t>proceed on breach of fiduciary duty against defendant as a partner was fundamentally unfair and is</w:t>
      </w:r>
      <w:r w:rsidR="00B64C57">
        <w:rPr>
          <w:color w:val="231F20"/>
        </w:rPr>
        <w:t xml:space="preserve"> </w:t>
      </w:r>
      <w:r>
        <w:rPr>
          <w:color w:val="231F20"/>
        </w:rPr>
        <w:t>reversed.</w:t>
      </w:r>
    </w:p>
    <w:p w14:paraId="38283FD3" w14:textId="77777777"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18.45</w:t>
      </w:r>
      <w:r>
        <w:rPr>
          <w:color w:val="231F20"/>
        </w:rPr>
        <w:tab/>
        <w:t>Process</w:t>
      </w:r>
    </w:p>
    <w:p w14:paraId="7B2558F1" w14:textId="18CC991C" w:rsidR="001E0458" w:rsidRPr="001E0458" w:rsidRDefault="001E0458" w:rsidP="00394810">
      <w:pPr>
        <w:spacing w:before="136"/>
        <w:ind w:left="720" w:right="970"/>
      </w:pPr>
      <w:r w:rsidRPr="002F24E0">
        <w:rPr>
          <w:i/>
          <w:iCs/>
        </w:rPr>
        <w:t>See</w:t>
      </w:r>
      <w:r w:rsidRPr="001E0458">
        <w:t xml:space="preserve"> </w:t>
      </w:r>
      <w:r w:rsidR="002F24E0">
        <w:rPr>
          <w:iCs/>
        </w:rPr>
        <w:t>Va. Code</w:t>
      </w:r>
      <w:r>
        <w:t xml:space="preserve"> § 8.01-15.2 as to service on service members and taking of default.</w:t>
      </w:r>
    </w:p>
    <w:p w14:paraId="69487177" w14:textId="2800129A" w:rsidR="00885FD7" w:rsidRPr="001E0458" w:rsidRDefault="00885FD7" w:rsidP="00885FD7">
      <w:pPr>
        <w:spacing w:before="136"/>
        <w:ind w:left="720"/>
        <w:jc w:val="both"/>
      </w:pPr>
      <w:r w:rsidRPr="002F24E0">
        <w:rPr>
          <w:i/>
          <w:iCs/>
        </w:rPr>
        <w:t>See</w:t>
      </w:r>
      <w:r w:rsidRPr="001E0458">
        <w:t xml:space="preserve"> </w:t>
      </w:r>
      <w:r w:rsidR="002F24E0">
        <w:rPr>
          <w:iCs/>
        </w:rPr>
        <w:t>Va. Code</w:t>
      </w:r>
      <w:r>
        <w:t xml:space="preserve"> § 8.01-286.1 encouraging acceptance of service and that such acceptance does not waive objections as to venue or jurisdiction. </w:t>
      </w:r>
    </w:p>
    <w:p w14:paraId="62D206D7" w14:textId="10756B69" w:rsidR="009910CD" w:rsidRDefault="00FC2690" w:rsidP="00394810">
      <w:pPr>
        <w:spacing w:before="136"/>
        <w:ind w:left="720"/>
      </w:pPr>
      <w:r>
        <w:rPr>
          <w:color w:val="231F20"/>
        </w:rPr>
        <w:t>2012—</w:t>
      </w:r>
      <w:r>
        <w:rPr>
          <w:i/>
          <w:color w:val="231F20"/>
        </w:rPr>
        <w:t>Bowman v.</w:t>
      </w:r>
      <w:r w:rsidR="00B64C57">
        <w:rPr>
          <w:i/>
          <w:color w:val="231F20"/>
        </w:rPr>
        <w:t xml:space="preserve"> </w:t>
      </w:r>
      <w:r>
        <w:rPr>
          <w:i/>
          <w:color w:val="231F20"/>
        </w:rPr>
        <w:t>Concepcion</w:t>
      </w:r>
      <w:r>
        <w:rPr>
          <w:color w:val="231F20"/>
        </w:rPr>
        <w:t>, 283 Va.</w:t>
      </w:r>
      <w:r w:rsidR="00B64C57">
        <w:rPr>
          <w:color w:val="231F20"/>
        </w:rPr>
        <w:t xml:space="preserve"> </w:t>
      </w:r>
      <w:r>
        <w:rPr>
          <w:color w:val="231F20"/>
        </w:rPr>
        <w:t>552, 722 S.E.2d</w:t>
      </w:r>
      <w:r w:rsidR="00B64C57">
        <w:rPr>
          <w:color w:val="231F20"/>
        </w:rPr>
        <w:t xml:space="preserve"> </w:t>
      </w:r>
      <w:r>
        <w:rPr>
          <w:color w:val="231F20"/>
        </w:rPr>
        <w:t>260.</w:t>
      </w:r>
    </w:p>
    <w:p w14:paraId="2E5D5886" w14:textId="77777777" w:rsidR="009910CD" w:rsidRDefault="00FC2690" w:rsidP="00901D29">
      <w:pPr>
        <w:pStyle w:val="BodyText"/>
        <w:spacing w:before="120" w:after="120"/>
        <w:ind w:left="1440"/>
        <w:jc w:val="both"/>
        <w:rPr>
          <w:color w:val="231F20"/>
        </w:rPr>
      </w:pPr>
      <w:r>
        <w:rPr>
          <w:color w:val="231F20"/>
        </w:rPr>
        <w:t>Statutes</w:t>
      </w:r>
      <w:r w:rsidRPr="00901D29">
        <w:rPr>
          <w:color w:val="231F20"/>
        </w:rPr>
        <w:t xml:space="preserve"> </w:t>
      </w:r>
      <w:r>
        <w:rPr>
          <w:color w:val="231F20"/>
        </w:rPr>
        <w:t>and</w:t>
      </w:r>
      <w:r w:rsidRPr="00901D29">
        <w:rPr>
          <w:color w:val="231F20"/>
        </w:rPr>
        <w:t xml:space="preserve"> </w:t>
      </w:r>
      <w:r>
        <w:rPr>
          <w:color w:val="231F20"/>
        </w:rPr>
        <w:t>rule</w:t>
      </w:r>
      <w:r w:rsidRPr="00901D29">
        <w:rPr>
          <w:color w:val="231F20"/>
        </w:rPr>
        <w:t xml:space="preserve"> </w:t>
      </w:r>
      <w:r>
        <w:rPr>
          <w:color w:val="231F20"/>
        </w:rPr>
        <w:t>requiring</w:t>
      </w:r>
      <w:r w:rsidRPr="00901D29">
        <w:rPr>
          <w:color w:val="231F20"/>
        </w:rPr>
        <w:t xml:space="preserve"> </w:t>
      </w:r>
      <w:r>
        <w:rPr>
          <w:color w:val="231F20"/>
        </w:rPr>
        <w:t>service</w:t>
      </w:r>
      <w:r w:rsidRPr="00901D29">
        <w:rPr>
          <w:color w:val="231F20"/>
        </w:rPr>
        <w:t xml:space="preserve"> </w:t>
      </w:r>
      <w:r>
        <w:rPr>
          <w:color w:val="231F20"/>
        </w:rPr>
        <w:t>of</w:t>
      </w:r>
      <w:r w:rsidRPr="00901D29">
        <w:rPr>
          <w:color w:val="231F20"/>
        </w:rPr>
        <w:t xml:space="preserve"> </w:t>
      </w:r>
      <w:r>
        <w:rPr>
          <w:color w:val="231F20"/>
        </w:rPr>
        <w:t>process</w:t>
      </w:r>
      <w:r w:rsidRPr="00901D29">
        <w:rPr>
          <w:color w:val="231F20"/>
        </w:rPr>
        <w:t xml:space="preserve"> </w:t>
      </w:r>
      <w:r>
        <w:rPr>
          <w:color w:val="231F20"/>
        </w:rPr>
        <w:t>within</w:t>
      </w:r>
      <w:r w:rsidRPr="00901D29">
        <w:rPr>
          <w:color w:val="231F20"/>
        </w:rPr>
        <w:t xml:space="preserve"> </w:t>
      </w:r>
      <w:r>
        <w:rPr>
          <w:color w:val="231F20"/>
        </w:rPr>
        <w:t>one</w:t>
      </w:r>
      <w:r w:rsidRPr="00901D29">
        <w:rPr>
          <w:color w:val="231F20"/>
        </w:rPr>
        <w:t xml:space="preserve"> </w:t>
      </w:r>
      <w:r>
        <w:rPr>
          <w:color w:val="231F20"/>
        </w:rPr>
        <w:t>year</w:t>
      </w:r>
      <w:r w:rsidRPr="00901D29">
        <w:rPr>
          <w:color w:val="231F20"/>
        </w:rPr>
        <w:t xml:space="preserve"> </w:t>
      </w:r>
      <w:r>
        <w:rPr>
          <w:color w:val="231F20"/>
        </w:rPr>
        <w:t>cannot be overridden by trial court without finding that plaintiff has exercised due diligence as to service. In this medical malpractice case, Claimant did not serve defendant within one year of filing because plaintiff did not have required expert witness statement. Plaintiff could have non-suited prior to dismissal. In this case, dismissal with prejudice was</w:t>
      </w:r>
      <w:r w:rsidRPr="00901D29">
        <w:rPr>
          <w:color w:val="231F20"/>
        </w:rPr>
        <w:t xml:space="preserve"> </w:t>
      </w:r>
      <w:r>
        <w:rPr>
          <w:color w:val="231F20"/>
        </w:rPr>
        <w:t>proper.</w:t>
      </w:r>
    </w:p>
    <w:p w14:paraId="5E314DD5" w14:textId="77777777"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18.47</w:t>
      </w:r>
      <w:r>
        <w:rPr>
          <w:color w:val="231F20"/>
        </w:rPr>
        <w:tab/>
        <w:t>Remittitur</w:t>
      </w:r>
    </w:p>
    <w:p w14:paraId="2483D24D" w14:textId="77777777" w:rsidR="009910CD" w:rsidRDefault="00FC2690" w:rsidP="00394810">
      <w:pPr>
        <w:spacing w:before="125"/>
        <w:ind w:left="720"/>
      </w:pPr>
      <w:r>
        <w:rPr>
          <w:color w:val="231F20"/>
        </w:rPr>
        <w:t>2013—</w:t>
      </w:r>
      <w:r>
        <w:rPr>
          <w:i/>
          <w:color w:val="231F20"/>
        </w:rPr>
        <w:t>Allied Concrete Company v.</w:t>
      </w:r>
      <w:r w:rsidR="00B64C57">
        <w:rPr>
          <w:i/>
          <w:color w:val="231F20"/>
        </w:rPr>
        <w:t xml:space="preserve"> </w:t>
      </w:r>
      <w:r>
        <w:rPr>
          <w:i/>
          <w:color w:val="231F20"/>
        </w:rPr>
        <w:t>Lester</w:t>
      </w:r>
      <w:r>
        <w:rPr>
          <w:color w:val="231F20"/>
        </w:rPr>
        <w:t>, 285 Va.</w:t>
      </w:r>
      <w:r w:rsidR="00B64C57">
        <w:rPr>
          <w:color w:val="231F20"/>
        </w:rPr>
        <w:t xml:space="preserve"> </w:t>
      </w:r>
      <w:r>
        <w:rPr>
          <w:color w:val="231F20"/>
        </w:rPr>
        <w:t>295, 736 S.E.2d</w:t>
      </w:r>
      <w:r w:rsidR="00B64C57">
        <w:rPr>
          <w:color w:val="231F20"/>
        </w:rPr>
        <w:t xml:space="preserve"> </w:t>
      </w:r>
      <w:r>
        <w:rPr>
          <w:color w:val="231F20"/>
        </w:rPr>
        <w:t>699.</w:t>
      </w:r>
    </w:p>
    <w:p w14:paraId="7027995B" w14:textId="77777777" w:rsidR="009910CD" w:rsidRPr="00901D29" w:rsidRDefault="00FC2690" w:rsidP="00901D29">
      <w:pPr>
        <w:pStyle w:val="BodyText"/>
        <w:spacing w:before="120" w:after="120"/>
        <w:ind w:left="1440"/>
        <w:jc w:val="both"/>
        <w:rPr>
          <w:color w:val="231F20"/>
        </w:rPr>
      </w:pPr>
      <w:r>
        <w:rPr>
          <w:color w:val="231F20"/>
        </w:rPr>
        <w:t>Trial</w:t>
      </w:r>
      <w:r w:rsidRPr="00901D29">
        <w:rPr>
          <w:color w:val="231F20"/>
        </w:rPr>
        <w:t xml:space="preserve"> </w:t>
      </w:r>
      <w:r>
        <w:rPr>
          <w:color w:val="231F20"/>
        </w:rPr>
        <w:t>court</w:t>
      </w:r>
      <w:r w:rsidRPr="00901D29">
        <w:rPr>
          <w:color w:val="231F20"/>
        </w:rPr>
        <w:t xml:space="preserve"> </w:t>
      </w:r>
      <w:r>
        <w:rPr>
          <w:color w:val="231F20"/>
        </w:rPr>
        <w:t>improperly</w:t>
      </w:r>
      <w:r w:rsidRPr="00901D29">
        <w:rPr>
          <w:color w:val="231F20"/>
        </w:rPr>
        <w:t xml:space="preserve"> </w:t>
      </w:r>
      <w:r>
        <w:rPr>
          <w:color w:val="231F20"/>
        </w:rPr>
        <w:t>based</w:t>
      </w:r>
      <w:r w:rsidRPr="00901D29">
        <w:rPr>
          <w:color w:val="231F20"/>
        </w:rPr>
        <w:t xml:space="preserve"> </w:t>
      </w:r>
      <w:r>
        <w:rPr>
          <w:color w:val="231F20"/>
        </w:rPr>
        <w:t>decision</w:t>
      </w:r>
      <w:r w:rsidRPr="00901D29">
        <w:rPr>
          <w:color w:val="231F20"/>
        </w:rPr>
        <w:t xml:space="preserve"> </w:t>
      </w:r>
      <w:r>
        <w:rPr>
          <w:color w:val="231F20"/>
        </w:rPr>
        <w:t>to</w:t>
      </w:r>
      <w:r w:rsidRPr="00901D29">
        <w:rPr>
          <w:color w:val="231F20"/>
        </w:rPr>
        <w:t xml:space="preserve"> </w:t>
      </w:r>
      <w:r>
        <w:rPr>
          <w:color w:val="231F20"/>
        </w:rPr>
        <w:t>grant</w:t>
      </w:r>
      <w:r w:rsidRPr="00901D29">
        <w:rPr>
          <w:color w:val="231F20"/>
        </w:rPr>
        <w:t xml:space="preserve"> </w:t>
      </w:r>
      <w:r>
        <w:rPr>
          <w:color w:val="231F20"/>
        </w:rPr>
        <w:t>remittitur</w:t>
      </w:r>
      <w:r w:rsidRPr="00901D29">
        <w:rPr>
          <w:color w:val="231F20"/>
        </w:rPr>
        <w:t xml:space="preserve"> </w:t>
      </w:r>
      <w:r>
        <w:rPr>
          <w:color w:val="231F20"/>
        </w:rPr>
        <w:t>on</w:t>
      </w:r>
      <w:r w:rsidRPr="00901D29">
        <w:rPr>
          <w:color w:val="231F20"/>
        </w:rPr>
        <w:t xml:space="preserve"> </w:t>
      </w:r>
      <w:r>
        <w:rPr>
          <w:color w:val="231F20"/>
        </w:rPr>
        <w:t>improper comparison of awards and failed to consider proper factors in evidence. In addition, trial court failed to provide any way of ascertaining whether the reduced award bears a reasonable relation to damages suffered by the</w:t>
      </w:r>
      <w:r w:rsidR="00B64C57">
        <w:rPr>
          <w:color w:val="231F20"/>
        </w:rPr>
        <w:t xml:space="preserve"> </w:t>
      </w:r>
      <w:r>
        <w:rPr>
          <w:color w:val="231F20"/>
        </w:rPr>
        <w:t>plaintiff.</w:t>
      </w:r>
    </w:p>
    <w:p w14:paraId="3A33198A" w14:textId="77777777" w:rsidR="009910CD" w:rsidRDefault="00FC2690" w:rsidP="00901D29">
      <w:pPr>
        <w:spacing w:before="131" w:line="240" w:lineRule="exact"/>
        <w:ind w:left="720"/>
      </w:pPr>
      <w:r>
        <w:rPr>
          <w:color w:val="231F20"/>
        </w:rPr>
        <w:t>2011—</w:t>
      </w:r>
      <w:r>
        <w:rPr>
          <w:i/>
          <w:color w:val="231F20"/>
        </w:rPr>
        <w:t>Condominium Services, Inc. v. First Owners’ Ass’n.</w:t>
      </w:r>
      <w:r>
        <w:rPr>
          <w:color w:val="231F20"/>
        </w:rPr>
        <w:t>, 281 Va. 561, 709 S.E.2d 163.</w:t>
      </w:r>
    </w:p>
    <w:p w14:paraId="5567A91C" w14:textId="71AE2CE6" w:rsidR="009910CD" w:rsidRDefault="00FC2690" w:rsidP="00901D29">
      <w:pPr>
        <w:pStyle w:val="BodyText"/>
        <w:spacing w:before="120" w:after="120"/>
        <w:ind w:left="1440"/>
        <w:jc w:val="both"/>
        <w:rPr>
          <w:color w:val="231F20"/>
        </w:rPr>
      </w:pPr>
      <w:r>
        <w:rPr>
          <w:color w:val="231F20"/>
        </w:rPr>
        <w:t>Punitive award in this conversion case was upheld. Total award was</w:t>
      </w:r>
      <w:r w:rsidR="00901D29">
        <w:rPr>
          <w:color w:val="231F20"/>
        </w:rPr>
        <w:t xml:space="preserve"> </w:t>
      </w:r>
      <w:r>
        <w:rPr>
          <w:color w:val="231F20"/>
        </w:rPr>
        <w:t>$275,000, which was two and a half times the compensatory award. Although defendant may have been e</w:t>
      </w:r>
      <w:r w:rsidR="00AB18B1">
        <w:rPr>
          <w:color w:val="231F20"/>
        </w:rPr>
        <w:t>xperiencing financial difficul</w:t>
      </w:r>
      <w:r>
        <w:rPr>
          <w:color w:val="231F20"/>
        </w:rPr>
        <w:t>ties, that evidence was not presented at trial and therefore cannot be considered now as to excessiveness of punitive</w:t>
      </w:r>
      <w:r w:rsidR="00B64C57">
        <w:rPr>
          <w:color w:val="231F20"/>
        </w:rPr>
        <w:t xml:space="preserve"> </w:t>
      </w:r>
      <w:r>
        <w:rPr>
          <w:color w:val="231F20"/>
        </w:rPr>
        <w:t>award.</w:t>
      </w:r>
    </w:p>
    <w:p w14:paraId="04CF792F" w14:textId="4FCE1836" w:rsidR="009910CD" w:rsidRPr="005675E5" w:rsidRDefault="00FC2690" w:rsidP="005675E5">
      <w:pPr>
        <w:pStyle w:val="Heading4"/>
        <w:tabs>
          <w:tab w:val="left" w:pos="720"/>
        </w:tabs>
        <w:spacing w:before="0" w:line="241" w:lineRule="exact"/>
        <w:ind w:left="0"/>
        <w:rPr>
          <w:color w:val="231F20"/>
        </w:rPr>
      </w:pPr>
      <w:r>
        <w:rPr>
          <w:color w:val="231F20"/>
        </w:rPr>
        <w:t>§</w:t>
      </w:r>
      <w:r w:rsidRPr="005675E5">
        <w:rPr>
          <w:color w:val="231F20"/>
        </w:rPr>
        <w:t xml:space="preserve"> </w:t>
      </w:r>
      <w:r>
        <w:rPr>
          <w:color w:val="231F20"/>
        </w:rPr>
        <w:t>18.49</w:t>
      </w:r>
      <w:r>
        <w:rPr>
          <w:color w:val="231F20"/>
        </w:rPr>
        <w:tab/>
        <w:t>Res Judicata and Collateral</w:t>
      </w:r>
      <w:r w:rsidR="00B64C57">
        <w:rPr>
          <w:color w:val="231F20"/>
        </w:rPr>
        <w:t xml:space="preserve"> </w:t>
      </w:r>
      <w:r>
        <w:rPr>
          <w:color w:val="231F20"/>
        </w:rPr>
        <w:t>Estoppel</w:t>
      </w:r>
    </w:p>
    <w:p w14:paraId="399AD1EA" w14:textId="7FB44E7C" w:rsidR="000507C8" w:rsidRPr="000507C8" w:rsidRDefault="000507C8" w:rsidP="00AA69F5">
      <w:pPr>
        <w:tabs>
          <w:tab w:val="left" w:pos="2121"/>
        </w:tabs>
        <w:spacing w:before="86"/>
        <w:ind w:left="720"/>
        <w:rPr>
          <w:bCs/>
          <w:color w:val="231F20"/>
        </w:rPr>
      </w:pPr>
      <w:r>
        <w:rPr>
          <w:bCs/>
          <w:i/>
          <w:iCs/>
          <w:color w:val="231F20"/>
        </w:rPr>
        <w:t>See</w:t>
      </w:r>
      <w:r>
        <w:rPr>
          <w:bCs/>
          <w:color w:val="231F20"/>
        </w:rPr>
        <w:t xml:space="preserve"> Rule 1:6 as to res judicata preclusion.</w:t>
      </w:r>
    </w:p>
    <w:p w14:paraId="2668A3AB" w14:textId="38373937" w:rsidR="009910CD" w:rsidRDefault="00FC2690" w:rsidP="00AF062B">
      <w:pPr>
        <w:tabs>
          <w:tab w:val="left" w:pos="2121"/>
        </w:tabs>
        <w:spacing w:before="86"/>
        <w:ind w:left="1170" w:hanging="450"/>
        <w:rPr>
          <w:b/>
        </w:rPr>
      </w:pPr>
      <w:r>
        <w:rPr>
          <w:b/>
          <w:color w:val="231F20"/>
        </w:rPr>
        <w:t>[2]</w:t>
      </w:r>
      <w:r>
        <w:rPr>
          <w:b/>
          <w:color w:val="231F20"/>
        </w:rPr>
        <w:tab/>
        <w:t>Res</w:t>
      </w:r>
      <w:r>
        <w:rPr>
          <w:b/>
          <w:color w:val="231F20"/>
          <w:spacing w:val="15"/>
        </w:rPr>
        <w:t xml:space="preserve"> </w:t>
      </w:r>
      <w:r>
        <w:rPr>
          <w:b/>
          <w:color w:val="231F20"/>
        </w:rPr>
        <w:t>Judicata</w:t>
      </w:r>
    </w:p>
    <w:p w14:paraId="175B9550" w14:textId="77777777" w:rsidR="009910CD" w:rsidRDefault="00FC2690" w:rsidP="00394810">
      <w:pPr>
        <w:spacing w:before="125"/>
        <w:ind w:left="720"/>
      </w:pPr>
      <w:r>
        <w:rPr>
          <w:color w:val="231F20"/>
        </w:rPr>
        <w:t>2015—</w:t>
      </w:r>
      <w:r>
        <w:rPr>
          <w:i/>
          <w:color w:val="231F20"/>
        </w:rPr>
        <w:t>Lee v.</w:t>
      </w:r>
      <w:r w:rsidR="00B64C57">
        <w:rPr>
          <w:i/>
          <w:color w:val="231F20"/>
        </w:rPr>
        <w:t xml:space="preserve"> </w:t>
      </w:r>
      <w:r>
        <w:rPr>
          <w:i/>
          <w:color w:val="231F20"/>
        </w:rPr>
        <w:t>Spoden</w:t>
      </w:r>
      <w:r>
        <w:rPr>
          <w:color w:val="231F20"/>
        </w:rPr>
        <w:t>, 290 Va.</w:t>
      </w:r>
      <w:r w:rsidR="00B64C57">
        <w:rPr>
          <w:color w:val="231F20"/>
        </w:rPr>
        <w:t xml:space="preserve"> </w:t>
      </w:r>
      <w:r>
        <w:rPr>
          <w:color w:val="231F20"/>
        </w:rPr>
        <w:t>235, 776 S.E.2d</w:t>
      </w:r>
      <w:r w:rsidR="00B64C57">
        <w:rPr>
          <w:color w:val="231F20"/>
        </w:rPr>
        <w:t xml:space="preserve"> </w:t>
      </w:r>
      <w:r>
        <w:rPr>
          <w:color w:val="231F20"/>
        </w:rPr>
        <w:t>798.</w:t>
      </w:r>
    </w:p>
    <w:p w14:paraId="2F7BEEC3" w14:textId="77777777" w:rsidR="009910CD" w:rsidRPr="00901D29" w:rsidRDefault="00FC2690" w:rsidP="00901D29">
      <w:pPr>
        <w:pStyle w:val="BodyText"/>
        <w:spacing w:before="120" w:after="120"/>
        <w:ind w:left="1440"/>
        <w:jc w:val="both"/>
        <w:rPr>
          <w:color w:val="231F20"/>
        </w:rPr>
      </w:pPr>
      <w:r>
        <w:rPr>
          <w:color w:val="231F20"/>
        </w:rPr>
        <w:t>Contempt proceeding between former spouses has res judicata effect. Issue preclusion bars successive litigation of an issue of fact or law actually litigated and resolved in a valid court determination essential to the prior judgment even if the issue recurs in the</w:t>
      </w:r>
      <w:r w:rsidRPr="00901D29">
        <w:rPr>
          <w:color w:val="231F20"/>
        </w:rPr>
        <w:t xml:space="preserve"> </w:t>
      </w:r>
      <w:r>
        <w:rPr>
          <w:color w:val="231F20"/>
        </w:rPr>
        <w:t>context of a different</w:t>
      </w:r>
      <w:r w:rsidRPr="00901D29">
        <w:rPr>
          <w:color w:val="231F20"/>
        </w:rPr>
        <w:t xml:space="preserve"> </w:t>
      </w:r>
      <w:r>
        <w:rPr>
          <w:color w:val="231F20"/>
        </w:rPr>
        <w:t>claim.</w:t>
      </w:r>
    </w:p>
    <w:p w14:paraId="40837A5E" w14:textId="77777777" w:rsidR="009910CD" w:rsidRDefault="00FC2690" w:rsidP="00394810">
      <w:pPr>
        <w:spacing w:before="118"/>
        <w:ind w:left="720"/>
      </w:pPr>
      <w:r>
        <w:rPr>
          <w:color w:val="231F20"/>
        </w:rPr>
        <w:t>2013—</w:t>
      </w:r>
      <w:r>
        <w:rPr>
          <w:i/>
          <w:color w:val="231F20"/>
        </w:rPr>
        <w:t xml:space="preserve">Caperton </w:t>
      </w:r>
      <w:r>
        <w:rPr>
          <w:i/>
          <w:color w:val="231F20"/>
          <w:spacing w:val="-9"/>
        </w:rPr>
        <w:t xml:space="preserve">v. </w:t>
      </w:r>
      <w:r>
        <w:rPr>
          <w:i/>
          <w:color w:val="231F20"/>
          <w:spacing w:val="-5"/>
        </w:rPr>
        <w:t xml:space="preserve">A.T. </w:t>
      </w:r>
      <w:r>
        <w:rPr>
          <w:i/>
          <w:color w:val="231F20"/>
        </w:rPr>
        <w:t>Massey Coal Co.</w:t>
      </w:r>
      <w:r>
        <w:rPr>
          <w:color w:val="231F20"/>
        </w:rPr>
        <w:t xml:space="preserve">, 285 </w:t>
      </w:r>
      <w:r>
        <w:rPr>
          <w:color w:val="231F20"/>
          <w:spacing w:val="-9"/>
        </w:rPr>
        <w:t>Va.</w:t>
      </w:r>
      <w:r w:rsidR="00B64C57">
        <w:rPr>
          <w:color w:val="231F20"/>
          <w:spacing w:val="-9"/>
        </w:rPr>
        <w:t xml:space="preserve"> </w:t>
      </w:r>
      <w:r>
        <w:rPr>
          <w:color w:val="231F20"/>
        </w:rPr>
        <w:t>537, 740 S.E.2d</w:t>
      </w:r>
      <w:r w:rsidR="00B64C57">
        <w:rPr>
          <w:color w:val="231F20"/>
        </w:rPr>
        <w:t xml:space="preserve"> </w:t>
      </w:r>
      <w:r>
        <w:rPr>
          <w:color w:val="231F20"/>
        </w:rPr>
        <w:t>1.</w:t>
      </w:r>
    </w:p>
    <w:p w14:paraId="0EFA4596" w14:textId="77777777" w:rsidR="009910CD" w:rsidRDefault="00FC2690" w:rsidP="00901D29">
      <w:pPr>
        <w:pStyle w:val="BodyText"/>
        <w:spacing w:before="120" w:after="120"/>
        <w:ind w:left="1440"/>
        <w:jc w:val="both"/>
        <w:rPr>
          <w:color w:val="231F20"/>
        </w:rPr>
      </w:pPr>
      <w:r>
        <w:rPr>
          <w:color w:val="231F20"/>
        </w:rPr>
        <w:t>In this case involving res judicata, the Court applied the law prior</w:t>
      </w:r>
      <w:r w:rsidRPr="00901D29">
        <w:rPr>
          <w:color w:val="231F20"/>
        </w:rPr>
        <w:t xml:space="preserve"> </w:t>
      </w:r>
      <w:r>
        <w:rPr>
          <w:color w:val="231F20"/>
        </w:rPr>
        <w:t>to the</w:t>
      </w:r>
      <w:r w:rsidRPr="00901D29">
        <w:rPr>
          <w:color w:val="231F20"/>
        </w:rPr>
        <w:t xml:space="preserve"> </w:t>
      </w:r>
      <w:r>
        <w:rPr>
          <w:color w:val="231F20"/>
        </w:rPr>
        <w:t>adoption</w:t>
      </w:r>
      <w:r w:rsidRPr="00901D29">
        <w:rPr>
          <w:color w:val="231F20"/>
        </w:rPr>
        <w:t xml:space="preserve"> </w:t>
      </w:r>
      <w:r>
        <w:rPr>
          <w:color w:val="231F20"/>
        </w:rPr>
        <w:t>of</w:t>
      </w:r>
      <w:r w:rsidRPr="00901D29">
        <w:rPr>
          <w:color w:val="231F20"/>
        </w:rPr>
        <w:t xml:space="preserve"> </w:t>
      </w:r>
      <w:r>
        <w:rPr>
          <w:color w:val="231F20"/>
        </w:rPr>
        <w:t>Rule</w:t>
      </w:r>
      <w:r w:rsidRPr="00901D29">
        <w:rPr>
          <w:color w:val="231F20"/>
        </w:rPr>
        <w:t xml:space="preserve"> </w:t>
      </w:r>
      <w:r>
        <w:rPr>
          <w:color w:val="231F20"/>
        </w:rPr>
        <w:t>1:6.</w:t>
      </w:r>
      <w:r w:rsidRPr="00901D29">
        <w:rPr>
          <w:color w:val="231F20"/>
        </w:rPr>
        <w:t xml:space="preserve"> </w:t>
      </w:r>
      <w:r>
        <w:rPr>
          <w:color w:val="231F20"/>
        </w:rPr>
        <w:t>The</w:t>
      </w:r>
      <w:r w:rsidRPr="00901D29">
        <w:rPr>
          <w:color w:val="231F20"/>
        </w:rPr>
        <w:t xml:space="preserve"> </w:t>
      </w:r>
      <w:r>
        <w:rPr>
          <w:color w:val="231F20"/>
        </w:rPr>
        <w:t>elements</w:t>
      </w:r>
      <w:r w:rsidRPr="00901D29">
        <w:rPr>
          <w:color w:val="231F20"/>
        </w:rPr>
        <w:t xml:space="preserve"> </w:t>
      </w:r>
      <w:r>
        <w:rPr>
          <w:color w:val="231F20"/>
        </w:rPr>
        <w:t>of</w:t>
      </w:r>
      <w:r w:rsidRPr="00901D29">
        <w:rPr>
          <w:color w:val="231F20"/>
        </w:rPr>
        <w:t xml:space="preserve"> </w:t>
      </w:r>
      <w:r>
        <w:rPr>
          <w:color w:val="231F20"/>
        </w:rPr>
        <w:t>res</w:t>
      </w:r>
      <w:r w:rsidRPr="00901D29">
        <w:rPr>
          <w:color w:val="231F20"/>
        </w:rPr>
        <w:t xml:space="preserve"> </w:t>
      </w:r>
      <w:r>
        <w:rPr>
          <w:color w:val="231F20"/>
        </w:rPr>
        <w:t>judicata</w:t>
      </w:r>
      <w:r w:rsidRPr="00901D29">
        <w:rPr>
          <w:color w:val="231F20"/>
        </w:rPr>
        <w:t xml:space="preserve"> </w:t>
      </w:r>
      <w:r>
        <w:rPr>
          <w:color w:val="231F20"/>
        </w:rPr>
        <w:t>are</w:t>
      </w:r>
      <w:r w:rsidRPr="00901D29">
        <w:rPr>
          <w:color w:val="231F20"/>
        </w:rPr>
        <w:t xml:space="preserve"> </w:t>
      </w:r>
      <w:r>
        <w:rPr>
          <w:color w:val="231F20"/>
        </w:rPr>
        <w:t>an</w:t>
      </w:r>
      <w:r w:rsidRPr="00901D29">
        <w:rPr>
          <w:color w:val="231F20"/>
        </w:rPr>
        <w:t xml:space="preserve"> </w:t>
      </w:r>
      <w:r>
        <w:rPr>
          <w:color w:val="231F20"/>
        </w:rPr>
        <w:t>identity of the remedy sought, identity of the cause of action, identity of the parties</w:t>
      </w:r>
      <w:r w:rsidRPr="00901D29">
        <w:rPr>
          <w:color w:val="231F20"/>
        </w:rPr>
        <w:t xml:space="preserve"> </w:t>
      </w:r>
      <w:r>
        <w:rPr>
          <w:color w:val="231F20"/>
        </w:rPr>
        <w:t>and</w:t>
      </w:r>
      <w:r w:rsidRPr="00901D29">
        <w:rPr>
          <w:color w:val="231F20"/>
        </w:rPr>
        <w:t xml:space="preserve"> </w:t>
      </w:r>
      <w:r>
        <w:rPr>
          <w:color w:val="231F20"/>
        </w:rPr>
        <w:t>identity</w:t>
      </w:r>
      <w:r w:rsidRPr="00901D29">
        <w:rPr>
          <w:color w:val="231F20"/>
        </w:rPr>
        <w:t xml:space="preserve"> </w:t>
      </w:r>
      <w:r>
        <w:rPr>
          <w:color w:val="231F20"/>
        </w:rPr>
        <w:t>of</w:t>
      </w:r>
      <w:r w:rsidRPr="00901D29">
        <w:rPr>
          <w:color w:val="231F20"/>
        </w:rPr>
        <w:t xml:space="preserve"> </w:t>
      </w:r>
      <w:r>
        <w:rPr>
          <w:color w:val="231F20"/>
        </w:rPr>
        <w:t>the</w:t>
      </w:r>
      <w:r w:rsidRPr="00901D29">
        <w:rPr>
          <w:color w:val="231F20"/>
        </w:rPr>
        <w:t xml:space="preserve"> </w:t>
      </w:r>
      <w:r>
        <w:rPr>
          <w:color w:val="231F20"/>
        </w:rPr>
        <w:t>quality</w:t>
      </w:r>
      <w:r w:rsidRPr="00901D29">
        <w:rPr>
          <w:color w:val="231F20"/>
        </w:rPr>
        <w:t xml:space="preserve"> </w:t>
      </w:r>
      <w:r>
        <w:rPr>
          <w:color w:val="231F20"/>
        </w:rPr>
        <w:t>of</w:t>
      </w:r>
      <w:r w:rsidRPr="00901D29">
        <w:rPr>
          <w:color w:val="231F20"/>
        </w:rPr>
        <w:t xml:space="preserve"> </w:t>
      </w:r>
      <w:r>
        <w:rPr>
          <w:color w:val="231F20"/>
        </w:rPr>
        <w:t>the</w:t>
      </w:r>
      <w:r w:rsidRPr="00901D29">
        <w:rPr>
          <w:color w:val="231F20"/>
        </w:rPr>
        <w:t xml:space="preserve"> </w:t>
      </w:r>
      <w:r>
        <w:rPr>
          <w:color w:val="231F20"/>
        </w:rPr>
        <w:t>persons</w:t>
      </w:r>
      <w:r w:rsidRPr="00901D29">
        <w:rPr>
          <w:color w:val="231F20"/>
        </w:rPr>
        <w:t xml:space="preserve"> </w:t>
      </w:r>
      <w:r>
        <w:rPr>
          <w:color w:val="231F20"/>
        </w:rPr>
        <w:t>for</w:t>
      </w:r>
      <w:r w:rsidRPr="00901D29">
        <w:rPr>
          <w:color w:val="231F20"/>
        </w:rPr>
        <w:t xml:space="preserve"> </w:t>
      </w:r>
      <w:r>
        <w:rPr>
          <w:color w:val="231F20"/>
        </w:rPr>
        <w:t>or</w:t>
      </w:r>
      <w:r w:rsidRPr="00901D29">
        <w:rPr>
          <w:color w:val="231F20"/>
        </w:rPr>
        <w:t xml:space="preserve"> </w:t>
      </w:r>
      <w:r>
        <w:rPr>
          <w:color w:val="231F20"/>
        </w:rPr>
        <w:t>against</w:t>
      </w:r>
      <w:r w:rsidRPr="00901D29">
        <w:rPr>
          <w:color w:val="231F20"/>
        </w:rPr>
        <w:t xml:space="preserve"> </w:t>
      </w:r>
      <w:r>
        <w:rPr>
          <w:color w:val="231F20"/>
        </w:rPr>
        <w:t>whom the claim is made. In this particular case, the evidence needed in</w:t>
      </w:r>
      <w:r w:rsidRPr="00901D29">
        <w:rPr>
          <w:color w:val="231F20"/>
        </w:rPr>
        <w:t xml:space="preserve"> </w:t>
      </w:r>
      <w:r>
        <w:rPr>
          <w:color w:val="231F20"/>
        </w:rPr>
        <w:t>the</w:t>
      </w:r>
      <w:r w:rsidR="00394810" w:rsidRPr="00901D29">
        <w:rPr>
          <w:color w:val="231F20"/>
        </w:rPr>
        <w:t xml:space="preserve"> </w:t>
      </w:r>
      <w:r>
        <w:rPr>
          <w:color w:val="231F20"/>
        </w:rPr>
        <w:t>second action was different from the proof necessary to support the claims in the prior action, there were differing causes of action asserted and therefore the defense of res judicata should have been denied.</w:t>
      </w:r>
    </w:p>
    <w:p w14:paraId="5A5C3B8D" w14:textId="77777777" w:rsidR="001C0781" w:rsidRPr="00901D29" w:rsidRDefault="001C0781" w:rsidP="00901D29">
      <w:pPr>
        <w:pStyle w:val="BodyText"/>
        <w:spacing w:before="120" w:after="120"/>
        <w:ind w:left="1440"/>
        <w:jc w:val="both"/>
        <w:rPr>
          <w:color w:val="231F20"/>
        </w:rPr>
      </w:pPr>
    </w:p>
    <w:p w14:paraId="324C5260" w14:textId="77777777" w:rsidR="009910CD" w:rsidRPr="005675E5" w:rsidRDefault="00FC2690" w:rsidP="005675E5">
      <w:pPr>
        <w:pStyle w:val="Heading4"/>
        <w:tabs>
          <w:tab w:val="left" w:pos="720"/>
        </w:tabs>
        <w:spacing w:before="0" w:line="241" w:lineRule="exact"/>
        <w:ind w:left="0"/>
        <w:rPr>
          <w:color w:val="231F20"/>
        </w:rPr>
      </w:pPr>
      <w:r>
        <w:rPr>
          <w:color w:val="231F20"/>
        </w:rPr>
        <w:lastRenderedPageBreak/>
        <w:t>§</w:t>
      </w:r>
      <w:r w:rsidRPr="005675E5">
        <w:rPr>
          <w:color w:val="231F20"/>
        </w:rPr>
        <w:t xml:space="preserve"> </w:t>
      </w:r>
      <w:r>
        <w:rPr>
          <w:color w:val="231F20"/>
        </w:rPr>
        <w:t>18.51</w:t>
      </w:r>
      <w:r>
        <w:rPr>
          <w:color w:val="231F20"/>
        </w:rPr>
        <w:tab/>
        <w:t>Settlement</w:t>
      </w:r>
    </w:p>
    <w:p w14:paraId="35010045" w14:textId="77777777" w:rsidR="009910CD" w:rsidRDefault="00FC2690" w:rsidP="00394810">
      <w:pPr>
        <w:spacing w:before="136" w:line="251" w:lineRule="exact"/>
        <w:ind w:left="720"/>
      </w:pPr>
      <w:r>
        <w:rPr>
          <w:color w:val="231F20"/>
        </w:rPr>
        <w:t>2012—</w:t>
      </w:r>
      <w:r>
        <w:rPr>
          <w:i/>
          <w:color w:val="231F20"/>
        </w:rPr>
        <w:t>Murayama 1997 Trust v.</w:t>
      </w:r>
      <w:r w:rsidR="00B64C57">
        <w:rPr>
          <w:i/>
          <w:color w:val="231F20"/>
        </w:rPr>
        <w:t xml:space="preserve"> </w:t>
      </w:r>
      <w:r>
        <w:rPr>
          <w:i/>
          <w:color w:val="231F20"/>
        </w:rPr>
        <w:t>NISC Holdings</w:t>
      </w:r>
      <w:r>
        <w:rPr>
          <w:color w:val="231F20"/>
        </w:rPr>
        <w:t>, 284 Va.</w:t>
      </w:r>
      <w:r w:rsidR="00B64C57">
        <w:rPr>
          <w:color w:val="231F20"/>
        </w:rPr>
        <w:t xml:space="preserve"> </w:t>
      </w:r>
      <w:r>
        <w:rPr>
          <w:color w:val="231F20"/>
        </w:rPr>
        <w:t>234, 727</w:t>
      </w:r>
      <w:r w:rsidR="00B64C57">
        <w:rPr>
          <w:color w:val="231F20"/>
        </w:rPr>
        <w:t xml:space="preserve"> </w:t>
      </w:r>
      <w:r>
        <w:rPr>
          <w:color w:val="231F20"/>
        </w:rPr>
        <w:t>S.E.2d</w:t>
      </w:r>
      <w:r w:rsidR="00394810">
        <w:rPr>
          <w:color w:val="231F20"/>
        </w:rPr>
        <w:t xml:space="preserve"> </w:t>
      </w:r>
      <w:r>
        <w:rPr>
          <w:color w:val="231F20"/>
        </w:rPr>
        <w:t>80.</w:t>
      </w:r>
    </w:p>
    <w:p w14:paraId="02743747" w14:textId="77777777" w:rsidR="009910CD" w:rsidRDefault="00FC2690" w:rsidP="00901D29">
      <w:pPr>
        <w:pStyle w:val="BodyText"/>
        <w:spacing w:before="120" w:after="120"/>
        <w:ind w:left="1440"/>
        <w:jc w:val="both"/>
        <w:rPr>
          <w:color w:val="231F20"/>
        </w:rPr>
      </w:pPr>
      <w:r>
        <w:rPr>
          <w:color w:val="231F20"/>
        </w:rPr>
        <w:t>Court properly sustained demurrer to complaint filed by trust seeking damages relating to a prior settlement agreement entered into relating to previous litigation between parties. Based upon the allegations of the settlement agreement and the nature of the adversarial relationship between the parties, as a matter of law, the trust did not reasonably rely upon any alleged fraudulent omissions or misrepresentations by the</w:t>
      </w:r>
      <w:r w:rsidR="00B64C57">
        <w:rPr>
          <w:color w:val="231F20"/>
        </w:rPr>
        <w:t xml:space="preserve"> </w:t>
      </w:r>
      <w:r>
        <w:rPr>
          <w:color w:val="231F20"/>
        </w:rPr>
        <w:t>defendant.</w:t>
      </w:r>
    </w:p>
    <w:p w14:paraId="3F795AF6" w14:textId="638A4E8A" w:rsidR="00A62CF8" w:rsidRPr="00334C7C" w:rsidRDefault="00A62CF8"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18.54</w:t>
      </w:r>
      <w:r>
        <w:rPr>
          <w:color w:val="231F20"/>
        </w:rPr>
        <w:tab/>
        <w:t>Standing</w:t>
      </w:r>
    </w:p>
    <w:p w14:paraId="2DA363BD" w14:textId="4E65B7D2" w:rsidR="00DD62EE" w:rsidRDefault="00103700" w:rsidP="00394810">
      <w:pPr>
        <w:spacing w:before="125"/>
        <w:ind w:left="720"/>
      </w:pPr>
      <w:r>
        <w:rPr>
          <w:color w:val="231F20"/>
        </w:rPr>
        <w:t>2024</w:t>
      </w:r>
      <w:r w:rsidR="00DD62EE">
        <w:rPr>
          <w:color w:val="231F20"/>
        </w:rPr>
        <w:t>—</w:t>
      </w:r>
      <w:r>
        <w:rPr>
          <w:i/>
          <w:color w:val="231F20"/>
        </w:rPr>
        <w:t>Shaw-McDonald</w:t>
      </w:r>
      <w:r w:rsidR="00DD62EE">
        <w:rPr>
          <w:i/>
          <w:color w:val="231F20"/>
        </w:rPr>
        <w:t xml:space="preserve"> v. </w:t>
      </w:r>
      <w:r>
        <w:rPr>
          <w:i/>
          <w:color w:val="231F20"/>
        </w:rPr>
        <w:t xml:space="preserve">Eye Consultants of Northern Virginia,, P.C. </w:t>
      </w:r>
      <w:r w:rsidR="00DD62EE">
        <w:rPr>
          <w:color w:val="231F20"/>
        </w:rPr>
        <w:t xml:space="preserve"> </w:t>
      </w:r>
      <w:r>
        <w:rPr>
          <w:color w:val="231F20"/>
        </w:rPr>
        <w:t>79</w:t>
      </w:r>
      <w:r w:rsidR="00DD62EE">
        <w:rPr>
          <w:color w:val="231F20"/>
        </w:rPr>
        <w:t xml:space="preserve"> Va. </w:t>
      </w:r>
      <w:r>
        <w:rPr>
          <w:color w:val="231F20"/>
        </w:rPr>
        <w:t>App.576</w:t>
      </w:r>
      <w:r w:rsidR="00DD62EE">
        <w:rPr>
          <w:color w:val="231F20"/>
        </w:rPr>
        <w:t xml:space="preserve">, </w:t>
      </w:r>
      <w:r>
        <w:rPr>
          <w:color w:val="231F20"/>
        </w:rPr>
        <w:t>896</w:t>
      </w:r>
      <w:r w:rsidR="00DD62EE">
        <w:rPr>
          <w:color w:val="231F20"/>
        </w:rPr>
        <w:t xml:space="preserve"> S.E.2d </w:t>
      </w:r>
      <w:r>
        <w:rPr>
          <w:color w:val="231F20"/>
        </w:rPr>
        <w:t>777</w:t>
      </w:r>
      <w:r w:rsidR="00DD62EE">
        <w:rPr>
          <w:color w:val="231F20"/>
        </w:rPr>
        <w:t>.</w:t>
      </w:r>
    </w:p>
    <w:p w14:paraId="7036285E" w14:textId="3D013711" w:rsidR="00DD62EE" w:rsidRPr="00901D29" w:rsidRDefault="00103700" w:rsidP="00901D29">
      <w:pPr>
        <w:pStyle w:val="BodyText"/>
        <w:spacing w:before="120" w:after="120"/>
        <w:ind w:left="1440"/>
        <w:jc w:val="both"/>
        <w:rPr>
          <w:color w:val="231F20"/>
        </w:rPr>
      </w:pPr>
      <w:r>
        <w:rPr>
          <w:color w:val="231F20"/>
        </w:rPr>
        <w:t xml:space="preserve">Plaintiff filed Chapter 7 Bankruptcy Petition after filing Complaint for tort claim. Bankruptcy Trustee abandoned the tort claim, thereby giving plaintiff standing to pursue the tort claim. </w:t>
      </w:r>
    </w:p>
    <w:p w14:paraId="3D8D5332" w14:textId="77777777" w:rsidR="00103700" w:rsidRDefault="00103700" w:rsidP="00103700">
      <w:pPr>
        <w:spacing w:before="125"/>
        <w:ind w:left="720"/>
      </w:pPr>
      <w:r>
        <w:rPr>
          <w:color w:val="231F20"/>
        </w:rPr>
        <w:t>2017—</w:t>
      </w:r>
      <w:r>
        <w:rPr>
          <w:i/>
          <w:color w:val="231F20"/>
        </w:rPr>
        <w:t>Eilber v. Floor Care Specialists. Inc.</w:t>
      </w:r>
      <w:r>
        <w:rPr>
          <w:color w:val="231F20"/>
        </w:rPr>
        <w:t>, 294 Va. 438, 807 S.E.2d 219.</w:t>
      </w:r>
    </w:p>
    <w:p w14:paraId="71BD7410" w14:textId="77777777" w:rsidR="00103700" w:rsidRPr="00901D29" w:rsidRDefault="00103700" w:rsidP="00103700">
      <w:pPr>
        <w:pStyle w:val="BodyText"/>
        <w:spacing w:before="120" w:after="120"/>
        <w:ind w:left="1440"/>
        <w:jc w:val="both"/>
        <w:rPr>
          <w:color w:val="231F20"/>
        </w:rPr>
      </w:pPr>
      <w:r>
        <w:rPr>
          <w:color w:val="231F20"/>
        </w:rPr>
        <w:t xml:space="preserve">Defamation clam arose after confirmation of plaintiff’s Chapter 13 Bankruptcy Plan but prior to discharge.  Plaintiff did not disclose until after discharge.  Plaintiff is judicially estopped from asserting claim.  Judicial estoppel is not an affirmative defense that can be waived and therefore case is dismissed.  </w:t>
      </w:r>
    </w:p>
    <w:p w14:paraId="07D01FB4" w14:textId="1FE18BB8" w:rsidR="0094085C" w:rsidRDefault="0094085C" w:rsidP="00394810">
      <w:pPr>
        <w:spacing w:before="125"/>
        <w:ind w:left="720"/>
      </w:pPr>
      <w:r>
        <w:rPr>
          <w:color w:val="231F20"/>
        </w:rPr>
        <w:t>2017—</w:t>
      </w:r>
      <w:r w:rsidR="00B92944">
        <w:rPr>
          <w:i/>
          <w:color w:val="231F20"/>
        </w:rPr>
        <w:t>Erie Insurance Co.</w:t>
      </w:r>
      <w:r>
        <w:rPr>
          <w:i/>
          <w:color w:val="231F20"/>
        </w:rPr>
        <w:t xml:space="preserve"> v. McKinley Chiropractic Center, P.C.</w:t>
      </w:r>
      <w:r>
        <w:rPr>
          <w:color w:val="231F20"/>
        </w:rPr>
        <w:t>, 294 Va. 138, 803 S.E.2d 741.</w:t>
      </w:r>
    </w:p>
    <w:p w14:paraId="565D0106" w14:textId="77777777" w:rsidR="0094085C" w:rsidRPr="00901D29" w:rsidRDefault="0094085C" w:rsidP="00901D29">
      <w:pPr>
        <w:pStyle w:val="BodyText"/>
        <w:spacing w:before="120" w:after="120"/>
        <w:ind w:left="1440"/>
        <w:jc w:val="both"/>
        <w:rPr>
          <w:color w:val="231F20"/>
        </w:rPr>
      </w:pPr>
      <w:r>
        <w:rPr>
          <w:color w:val="231F20"/>
        </w:rPr>
        <w:t xml:space="preserve">Plaintiff assigned personal injury claim to chiropractor but then failed to pay chiropractor out of settlement proceeds.  Chiropractor then sued insurance carrier.  Plaintiff had no right to sue Erie and likewise chiropractor had no right to sue Erie.  </w:t>
      </w:r>
    </w:p>
    <w:p w14:paraId="48FD2BB4" w14:textId="77777777" w:rsidR="00A62CF8" w:rsidRDefault="00A62CF8" w:rsidP="00394810">
      <w:pPr>
        <w:spacing w:before="136" w:line="251" w:lineRule="exact"/>
        <w:ind w:left="720"/>
      </w:pPr>
      <w:r>
        <w:rPr>
          <w:color w:val="231F20"/>
        </w:rPr>
        <w:t>2017—</w:t>
      </w:r>
      <w:r>
        <w:rPr>
          <w:i/>
          <w:color w:val="231F20"/>
        </w:rPr>
        <w:t>Ricketts v. Strange</w:t>
      </w:r>
      <w:r>
        <w:rPr>
          <w:color w:val="231F20"/>
        </w:rPr>
        <w:t>, 293 Va. 101, 796 S.E.2d 182.</w:t>
      </w:r>
    </w:p>
    <w:p w14:paraId="33828124" w14:textId="2FA3E0FD" w:rsidR="00A62CF8" w:rsidRDefault="00A62CF8" w:rsidP="00901D29">
      <w:pPr>
        <w:pStyle w:val="BodyText"/>
        <w:spacing w:before="120" w:after="120"/>
        <w:ind w:left="1440"/>
        <w:jc w:val="both"/>
        <w:rPr>
          <w:color w:val="231F20"/>
        </w:rPr>
      </w:pPr>
      <w:r>
        <w:rPr>
          <w:color w:val="231F20"/>
        </w:rPr>
        <w:t xml:space="preserve">Plaintiff had filed bankruptcy prior to this negligence action being filed and did not list the personal injury claim as an asset.  The claim belonged to the trustee and therefore the plaintiff lacked standing. </w:t>
      </w:r>
    </w:p>
    <w:p w14:paraId="30A1195F"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18.56</w:t>
      </w:r>
      <w:r>
        <w:rPr>
          <w:color w:val="231F20"/>
        </w:rPr>
        <w:tab/>
        <w:t>Statutes</w:t>
      </w:r>
    </w:p>
    <w:p w14:paraId="248454DE" w14:textId="2A1225EC" w:rsidR="00D61DAE" w:rsidRDefault="00D61DAE" w:rsidP="00AF062B">
      <w:pPr>
        <w:tabs>
          <w:tab w:val="left" w:pos="2041"/>
        </w:tabs>
        <w:spacing w:before="96"/>
        <w:ind w:left="1170" w:hanging="450"/>
        <w:rPr>
          <w:b/>
        </w:rPr>
      </w:pPr>
      <w:r>
        <w:rPr>
          <w:b/>
          <w:color w:val="231F20"/>
        </w:rPr>
        <w:t>[1]</w:t>
      </w:r>
      <w:r>
        <w:rPr>
          <w:b/>
          <w:color w:val="231F20"/>
        </w:rPr>
        <w:tab/>
        <w:t>Conflicting Statutes</w:t>
      </w:r>
    </w:p>
    <w:p w14:paraId="5875DE2C" w14:textId="30B2A1C5" w:rsidR="00D61DAE" w:rsidRDefault="002F24E0" w:rsidP="008F298C">
      <w:pPr>
        <w:pStyle w:val="BodyText"/>
        <w:spacing w:before="120" w:after="120"/>
        <w:ind w:left="1440"/>
        <w:jc w:val="both"/>
        <w:rPr>
          <w:color w:val="231F20"/>
        </w:rPr>
      </w:pPr>
      <w:r>
        <w:rPr>
          <w:color w:val="231F20"/>
        </w:rPr>
        <w:t>Va.</w:t>
      </w:r>
      <w:r w:rsidR="00D61DAE">
        <w:rPr>
          <w:color w:val="231F20"/>
        </w:rPr>
        <w:t xml:space="preserve"> Code § 8.01-3 indicates that where there is conflict between rule of court and statutory enactment, then the statute controls.</w:t>
      </w:r>
    </w:p>
    <w:p w14:paraId="5A607274" w14:textId="203B13F8" w:rsidR="00BF6241" w:rsidRDefault="00BF6241" w:rsidP="00AF062B">
      <w:pPr>
        <w:tabs>
          <w:tab w:val="left" w:pos="2041"/>
        </w:tabs>
        <w:spacing w:before="96"/>
        <w:ind w:left="1170" w:hanging="450"/>
        <w:rPr>
          <w:b/>
        </w:rPr>
      </w:pPr>
      <w:r>
        <w:rPr>
          <w:b/>
          <w:color w:val="231F20"/>
        </w:rPr>
        <w:t>[2]</w:t>
      </w:r>
      <w:r>
        <w:rPr>
          <w:b/>
          <w:color w:val="231F20"/>
        </w:rPr>
        <w:tab/>
        <w:t>Interpretation</w:t>
      </w:r>
    </w:p>
    <w:p w14:paraId="121326FC" w14:textId="77777777" w:rsidR="009E1B17" w:rsidRDefault="009E1B17" w:rsidP="009E1B17">
      <w:pPr>
        <w:spacing w:before="135"/>
        <w:ind w:left="720"/>
        <w:rPr>
          <w:color w:val="231F20"/>
        </w:rPr>
      </w:pPr>
      <w:r>
        <w:rPr>
          <w:color w:val="231F20"/>
        </w:rPr>
        <w:t>2022</w:t>
      </w:r>
      <w:r w:rsidRPr="009F6F0A">
        <w:rPr>
          <w:color w:val="231F20"/>
        </w:rPr>
        <w:t>—</w:t>
      </w:r>
      <w:r>
        <w:rPr>
          <w:i/>
          <w:color w:val="231F20"/>
        </w:rPr>
        <w:t>English</w:t>
      </w:r>
      <w:r w:rsidRPr="009F6F0A">
        <w:rPr>
          <w:i/>
          <w:color w:val="231F20"/>
        </w:rPr>
        <w:t xml:space="preserve"> v. </w:t>
      </w:r>
      <w:r>
        <w:rPr>
          <w:i/>
          <w:color w:val="231F20"/>
        </w:rPr>
        <w:t>Quinn</w:t>
      </w:r>
      <w:r w:rsidRPr="009F6F0A">
        <w:rPr>
          <w:color w:val="231F20"/>
        </w:rPr>
        <w:t xml:space="preserve">, </w:t>
      </w:r>
      <w:r>
        <w:rPr>
          <w:color w:val="231F20"/>
        </w:rPr>
        <w:t>76</w:t>
      </w:r>
      <w:r w:rsidRPr="009F6F0A">
        <w:rPr>
          <w:color w:val="231F20"/>
        </w:rPr>
        <w:t xml:space="preserve"> Va. </w:t>
      </w:r>
      <w:r>
        <w:rPr>
          <w:color w:val="231F20"/>
        </w:rPr>
        <w:t>App. 80</w:t>
      </w:r>
      <w:r w:rsidRPr="009F6F0A">
        <w:rPr>
          <w:color w:val="231F20"/>
        </w:rPr>
        <w:t xml:space="preserve">, </w:t>
      </w:r>
      <w:r>
        <w:rPr>
          <w:color w:val="231F20"/>
        </w:rPr>
        <w:t>880</w:t>
      </w:r>
      <w:r w:rsidRPr="009F6F0A">
        <w:rPr>
          <w:color w:val="231F20"/>
        </w:rPr>
        <w:t xml:space="preserve"> S.E.2d </w:t>
      </w:r>
      <w:r>
        <w:rPr>
          <w:color w:val="231F20"/>
        </w:rPr>
        <w:t>35</w:t>
      </w:r>
      <w:r w:rsidRPr="009F6F0A">
        <w:rPr>
          <w:color w:val="231F20"/>
        </w:rPr>
        <w:t>.</w:t>
      </w:r>
    </w:p>
    <w:p w14:paraId="08818EED" w14:textId="2B684338" w:rsidR="00867CDD" w:rsidRDefault="009E1B17" w:rsidP="00867CDD">
      <w:pPr>
        <w:pStyle w:val="BodyText"/>
        <w:spacing w:before="120" w:after="120"/>
        <w:ind w:left="1170"/>
        <w:jc w:val="both"/>
        <w:rPr>
          <w:color w:val="231F20"/>
        </w:rPr>
      </w:pPr>
      <w:r>
        <w:rPr>
          <w:color w:val="231F20"/>
        </w:rPr>
        <w:tab/>
      </w:r>
      <w:r w:rsidR="00867CDD">
        <w:rPr>
          <w:color w:val="231F20"/>
        </w:rPr>
        <w:t xml:space="preserve">It should be presumed that the Supreme Court says what it means and means what it says. </w:t>
      </w:r>
    </w:p>
    <w:p w14:paraId="4113B7F6" w14:textId="148E5402" w:rsidR="00BF6241" w:rsidRDefault="00BF6241" w:rsidP="00BF6241">
      <w:pPr>
        <w:spacing w:before="136"/>
        <w:ind w:left="720"/>
      </w:pPr>
      <w:r>
        <w:rPr>
          <w:color w:val="231F20"/>
          <w:spacing w:val="-3"/>
        </w:rPr>
        <w:t>2018—</w:t>
      </w:r>
      <w:r>
        <w:rPr>
          <w:i/>
          <w:color w:val="231F20"/>
          <w:spacing w:val="-3"/>
        </w:rPr>
        <w:t>Cherry v. Lawson Realty Corp</w:t>
      </w:r>
      <w:r>
        <w:rPr>
          <w:i/>
          <w:color w:val="231F20"/>
        </w:rPr>
        <w:t>.</w:t>
      </w:r>
      <w:r>
        <w:rPr>
          <w:color w:val="231F20"/>
        </w:rPr>
        <w:t xml:space="preserve">, 295 </w:t>
      </w:r>
      <w:r>
        <w:rPr>
          <w:color w:val="231F20"/>
          <w:spacing w:val="-9"/>
        </w:rPr>
        <w:t xml:space="preserve">Va. </w:t>
      </w:r>
      <w:r>
        <w:rPr>
          <w:color w:val="231F20"/>
        </w:rPr>
        <w:t>369, 812 S.E.2d 775.</w:t>
      </w:r>
    </w:p>
    <w:p w14:paraId="2C8540D2" w14:textId="49B0425A" w:rsidR="00BF6241" w:rsidRDefault="002F24E0" w:rsidP="00BF6241">
      <w:pPr>
        <w:pStyle w:val="BodyText"/>
        <w:spacing w:before="120" w:after="120"/>
        <w:ind w:left="1440"/>
        <w:jc w:val="both"/>
        <w:rPr>
          <w:color w:val="231F20"/>
        </w:rPr>
      </w:pPr>
      <w:r>
        <w:rPr>
          <w:color w:val="231F20"/>
        </w:rPr>
        <w:t>Va.</w:t>
      </w:r>
      <w:r w:rsidR="00BF6241">
        <w:rPr>
          <w:color w:val="231F20"/>
        </w:rPr>
        <w:t xml:space="preserve"> Code § 8.01-226.12 established a direct cause of action for personal injury and property damage whenever the landlord or managing agent with maintenance responsibilities failed to remediate visible mold in accordance with the codified professional standards for mold remediation.  That Code section however did not eliminate or bar causes of action under the common law.  The Supreme Court stated that it perceived no inten</w:t>
      </w:r>
      <w:r w:rsidR="002C1124">
        <w:rPr>
          <w:color w:val="231F20"/>
        </w:rPr>
        <w:t>t by the General Assembly to abrogate common law tort liability or immunity beyond the narrow confines of the statute.</w:t>
      </w:r>
    </w:p>
    <w:p w14:paraId="5F0EE239" w14:textId="77777777" w:rsidR="001C0781" w:rsidRDefault="001C0781" w:rsidP="00BF6241">
      <w:pPr>
        <w:pStyle w:val="BodyText"/>
        <w:spacing w:before="120" w:after="120"/>
        <w:ind w:left="1440"/>
        <w:jc w:val="both"/>
        <w:rPr>
          <w:color w:val="231F20"/>
        </w:rPr>
      </w:pPr>
    </w:p>
    <w:p w14:paraId="743B70B6" w14:textId="10125C5A" w:rsidR="00421FB2" w:rsidRDefault="00421FB2" w:rsidP="00AF062B">
      <w:pPr>
        <w:tabs>
          <w:tab w:val="left" w:pos="2041"/>
        </w:tabs>
        <w:spacing w:before="96"/>
        <w:ind w:left="1170" w:hanging="450"/>
        <w:rPr>
          <w:b/>
        </w:rPr>
      </w:pPr>
      <w:r>
        <w:rPr>
          <w:b/>
          <w:color w:val="231F20"/>
        </w:rPr>
        <w:lastRenderedPageBreak/>
        <w:t>[3]</w:t>
      </w:r>
      <w:r>
        <w:rPr>
          <w:b/>
          <w:color w:val="231F20"/>
        </w:rPr>
        <w:tab/>
        <w:t>Private Cause of Action</w:t>
      </w:r>
    </w:p>
    <w:p w14:paraId="275FE4DD" w14:textId="4F006AFF" w:rsidR="00421FB2" w:rsidRDefault="00421FB2" w:rsidP="00421FB2">
      <w:pPr>
        <w:spacing w:before="136"/>
        <w:ind w:left="720"/>
      </w:pPr>
      <w:r>
        <w:rPr>
          <w:color w:val="231F20"/>
          <w:spacing w:val="-3"/>
        </w:rPr>
        <w:t>2018—</w:t>
      </w:r>
      <w:r>
        <w:rPr>
          <w:i/>
          <w:color w:val="231F20"/>
          <w:spacing w:val="-3"/>
        </w:rPr>
        <w:t>Parker v. Carilion Clinic</w:t>
      </w:r>
      <w:r>
        <w:rPr>
          <w:color w:val="231F20"/>
        </w:rPr>
        <w:t xml:space="preserve">, 296 </w:t>
      </w:r>
      <w:r>
        <w:rPr>
          <w:color w:val="231F20"/>
          <w:spacing w:val="-9"/>
        </w:rPr>
        <w:t xml:space="preserve">Va. </w:t>
      </w:r>
      <w:r>
        <w:rPr>
          <w:color w:val="231F20"/>
        </w:rPr>
        <w:t>319, 819 S.E.2d 809.</w:t>
      </w:r>
    </w:p>
    <w:p w14:paraId="0CA93F52" w14:textId="3F0A4E95" w:rsidR="007C1506" w:rsidRPr="00487F22" w:rsidRDefault="00421FB2" w:rsidP="00487F22">
      <w:pPr>
        <w:pStyle w:val="BodyText"/>
        <w:spacing w:before="120" w:after="120"/>
        <w:ind w:left="1440"/>
        <w:jc w:val="both"/>
        <w:rPr>
          <w:color w:val="231F20"/>
        </w:rPr>
      </w:pPr>
      <w:r>
        <w:rPr>
          <w:color w:val="231F20"/>
        </w:rPr>
        <w:t xml:space="preserve">Plaintiff sued healthcare provider and two employees for HIPAA violation in disclosure of medical records.  HIPAA does not give rise to a negligence per se cause of action and </w:t>
      </w:r>
      <w:r w:rsidR="002F24E0">
        <w:rPr>
          <w:color w:val="231F20"/>
        </w:rPr>
        <w:t>Va.</w:t>
      </w:r>
      <w:r>
        <w:rPr>
          <w:color w:val="231F20"/>
        </w:rPr>
        <w:t xml:space="preserve"> Code § 8.01-221 does not create a cause of action for statutory violations.</w:t>
      </w:r>
    </w:p>
    <w:p w14:paraId="2F571C71" w14:textId="65E7E781" w:rsidR="009910CD" w:rsidRDefault="00FC2690" w:rsidP="00AF062B">
      <w:pPr>
        <w:tabs>
          <w:tab w:val="left" w:pos="2041"/>
        </w:tabs>
        <w:spacing w:before="96"/>
        <w:ind w:left="1170" w:hanging="450"/>
        <w:rPr>
          <w:b/>
        </w:rPr>
      </w:pPr>
      <w:r>
        <w:rPr>
          <w:b/>
          <w:color w:val="231F20"/>
        </w:rPr>
        <w:t>[5]</w:t>
      </w:r>
      <w:r>
        <w:rPr>
          <w:b/>
          <w:color w:val="231F20"/>
        </w:rPr>
        <w:tab/>
        <w:t>Standard of</w:t>
      </w:r>
      <w:r>
        <w:rPr>
          <w:b/>
          <w:color w:val="231F20"/>
          <w:spacing w:val="28"/>
        </w:rPr>
        <w:t xml:space="preserve"> </w:t>
      </w:r>
      <w:r>
        <w:rPr>
          <w:b/>
          <w:color w:val="231F20"/>
        </w:rPr>
        <w:t>Care</w:t>
      </w:r>
    </w:p>
    <w:p w14:paraId="3BEAE71B" w14:textId="77777777" w:rsidR="009910CD" w:rsidRDefault="00FC2690" w:rsidP="00394810">
      <w:pPr>
        <w:spacing w:before="136"/>
        <w:ind w:left="720"/>
      </w:pPr>
      <w:r>
        <w:rPr>
          <w:color w:val="231F20"/>
          <w:spacing w:val="-3"/>
        </w:rPr>
        <w:t>2011—</w:t>
      </w:r>
      <w:r>
        <w:rPr>
          <w:i/>
          <w:color w:val="231F20"/>
          <w:spacing w:val="-3"/>
        </w:rPr>
        <w:t xml:space="preserve">Vuich </w:t>
      </w:r>
      <w:r>
        <w:rPr>
          <w:i/>
          <w:color w:val="231F20"/>
          <w:spacing w:val="-9"/>
        </w:rPr>
        <w:t>v.</w:t>
      </w:r>
      <w:r w:rsidR="00B64C57">
        <w:rPr>
          <w:i/>
          <w:color w:val="231F20"/>
          <w:spacing w:val="-9"/>
        </w:rPr>
        <w:t xml:space="preserve"> </w:t>
      </w:r>
      <w:r>
        <w:rPr>
          <w:i/>
          <w:color w:val="231F20"/>
        </w:rPr>
        <w:t>Great Eastern Resort Corp.</w:t>
      </w:r>
      <w:r>
        <w:rPr>
          <w:color w:val="231F20"/>
        </w:rPr>
        <w:t xml:space="preserve">, 281 </w:t>
      </w:r>
      <w:r>
        <w:rPr>
          <w:color w:val="231F20"/>
          <w:spacing w:val="-9"/>
        </w:rPr>
        <w:t>Va.</w:t>
      </w:r>
      <w:r w:rsidR="00B64C57">
        <w:rPr>
          <w:color w:val="231F20"/>
          <w:spacing w:val="-9"/>
        </w:rPr>
        <w:t xml:space="preserve"> </w:t>
      </w:r>
      <w:r>
        <w:rPr>
          <w:color w:val="231F20"/>
        </w:rPr>
        <w:t>240, 704 S.E.2d</w:t>
      </w:r>
      <w:r w:rsidR="00B64C57">
        <w:rPr>
          <w:color w:val="231F20"/>
        </w:rPr>
        <w:t xml:space="preserve"> </w:t>
      </w:r>
      <w:r>
        <w:rPr>
          <w:color w:val="231F20"/>
        </w:rPr>
        <w:t>377.</w:t>
      </w:r>
    </w:p>
    <w:p w14:paraId="3DB0B84C" w14:textId="77777777" w:rsidR="009910CD" w:rsidRPr="00901D29" w:rsidRDefault="00FC2690" w:rsidP="00901D29">
      <w:pPr>
        <w:pStyle w:val="BodyText"/>
        <w:spacing w:before="120" w:after="120"/>
        <w:ind w:left="1440"/>
        <w:jc w:val="both"/>
        <w:rPr>
          <w:color w:val="231F20"/>
        </w:rPr>
      </w:pPr>
      <w:r>
        <w:rPr>
          <w:color w:val="231F20"/>
        </w:rPr>
        <w:t>In</w:t>
      </w:r>
      <w:r w:rsidRPr="00901D29">
        <w:rPr>
          <w:color w:val="231F20"/>
        </w:rPr>
        <w:t xml:space="preserve"> </w:t>
      </w:r>
      <w:r>
        <w:rPr>
          <w:color w:val="231F20"/>
        </w:rPr>
        <w:t>this</w:t>
      </w:r>
      <w:r w:rsidRPr="00901D29">
        <w:rPr>
          <w:color w:val="231F20"/>
        </w:rPr>
        <w:t xml:space="preserve"> </w:t>
      </w:r>
      <w:r>
        <w:rPr>
          <w:color w:val="231F20"/>
        </w:rPr>
        <w:t>interlocutory</w:t>
      </w:r>
      <w:r w:rsidRPr="00901D29">
        <w:rPr>
          <w:color w:val="231F20"/>
        </w:rPr>
        <w:t xml:space="preserve"> </w:t>
      </w:r>
      <w:r>
        <w:rPr>
          <w:color w:val="231F20"/>
        </w:rPr>
        <w:t>appeal</w:t>
      </w:r>
      <w:r w:rsidRPr="00901D29">
        <w:rPr>
          <w:color w:val="231F20"/>
        </w:rPr>
        <w:t xml:space="preserve"> </w:t>
      </w:r>
      <w:r>
        <w:rPr>
          <w:color w:val="231F20"/>
        </w:rPr>
        <w:t>that</w:t>
      </w:r>
      <w:r w:rsidRPr="00901D29">
        <w:rPr>
          <w:color w:val="231F20"/>
        </w:rPr>
        <w:t xml:space="preserve"> </w:t>
      </w:r>
      <w:r>
        <w:rPr>
          <w:color w:val="231F20"/>
        </w:rPr>
        <w:t>was</w:t>
      </w:r>
      <w:r w:rsidRPr="00901D29">
        <w:rPr>
          <w:color w:val="231F20"/>
        </w:rPr>
        <w:t xml:space="preserve"> </w:t>
      </w:r>
      <w:r>
        <w:rPr>
          <w:color w:val="231F20"/>
        </w:rPr>
        <w:t>agreed</w:t>
      </w:r>
      <w:r w:rsidRPr="00901D29">
        <w:rPr>
          <w:color w:val="231F20"/>
        </w:rPr>
        <w:t xml:space="preserve"> </w:t>
      </w:r>
      <w:r>
        <w:rPr>
          <w:color w:val="231F20"/>
        </w:rPr>
        <w:t>to</w:t>
      </w:r>
      <w:r w:rsidRPr="00901D29">
        <w:rPr>
          <w:color w:val="231F20"/>
        </w:rPr>
        <w:t xml:space="preserve"> </w:t>
      </w:r>
      <w:r>
        <w:rPr>
          <w:color w:val="231F20"/>
        </w:rPr>
        <w:t>by</w:t>
      </w:r>
      <w:r w:rsidRPr="00901D29">
        <w:rPr>
          <w:color w:val="231F20"/>
        </w:rPr>
        <w:t xml:space="preserve"> </w:t>
      </w:r>
      <w:r>
        <w:rPr>
          <w:color w:val="231F20"/>
        </w:rPr>
        <w:t>the</w:t>
      </w:r>
      <w:r w:rsidRPr="00901D29">
        <w:rPr>
          <w:color w:val="231F20"/>
        </w:rPr>
        <w:t xml:space="preserve"> </w:t>
      </w:r>
      <w:r>
        <w:rPr>
          <w:color w:val="231F20"/>
        </w:rPr>
        <w:t>parties</w:t>
      </w:r>
      <w:r w:rsidRPr="00901D29">
        <w:rPr>
          <w:color w:val="231F20"/>
        </w:rPr>
        <w:t xml:space="preserve"> </w:t>
      </w:r>
      <w:r>
        <w:rPr>
          <w:color w:val="231F20"/>
        </w:rPr>
        <w:t>the</w:t>
      </w:r>
      <w:r w:rsidRPr="00901D29">
        <w:rPr>
          <w:color w:val="231F20"/>
        </w:rPr>
        <w:t xml:space="preserve"> </w:t>
      </w:r>
      <w:r w:rsidR="00AE3B68">
        <w:rPr>
          <w:color w:val="231F20"/>
        </w:rPr>
        <w:t>t</w:t>
      </w:r>
      <w:r>
        <w:rPr>
          <w:color w:val="231F20"/>
        </w:rPr>
        <w:t xml:space="preserve">rial </w:t>
      </w:r>
      <w:r w:rsidR="00AE3B68">
        <w:rPr>
          <w:color w:val="231F20"/>
        </w:rPr>
        <w:t>c</w:t>
      </w:r>
      <w:r>
        <w:rPr>
          <w:color w:val="231F20"/>
        </w:rPr>
        <w:t xml:space="preserve">ourt determination was reversed by the Supreme Court as to the issue of whether or not the </w:t>
      </w:r>
      <w:r w:rsidRPr="00901D29">
        <w:rPr>
          <w:color w:val="231F20"/>
        </w:rPr>
        <w:t xml:space="preserve">Virginia </w:t>
      </w:r>
      <w:r>
        <w:rPr>
          <w:color w:val="231F20"/>
        </w:rPr>
        <w:t>Amusement Device</w:t>
      </w:r>
      <w:r w:rsidRPr="00901D29">
        <w:rPr>
          <w:color w:val="231F20"/>
        </w:rPr>
        <w:t xml:space="preserve"> </w:t>
      </w:r>
      <w:r>
        <w:rPr>
          <w:color w:val="231F20"/>
        </w:rPr>
        <w:t>Regulations applied to a snow tube</w:t>
      </w:r>
      <w:r w:rsidR="00B64C57">
        <w:rPr>
          <w:color w:val="231F20"/>
        </w:rPr>
        <w:t xml:space="preserve"> </w:t>
      </w:r>
      <w:r>
        <w:rPr>
          <w:color w:val="231F20"/>
        </w:rPr>
        <w:t>ride.</w:t>
      </w:r>
    </w:p>
    <w:p w14:paraId="3F9B0C02"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18.58</w:t>
      </w:r>
      <w:r>
        <w:rPr>
          <w:color w:val="231F20"/>
        </w:rPr>
        <w:tab/>
        <w:t>Summary</w:t>
      </w:r>
      <w:r w:rsidRPr="00334C7C">
        <w:rPr>
          <w:color w:val="231F20"/>
        </w:rPr>
        <w:t xml:space="preserve"> </w:t>
      </w:r>
      <w:r>
        <w:rPr>
          <w:color w:val="231F20"/>
        </w:rPr>
        <w:t>Judgment</w:t>
      </w:r>
    </w:p>
    <w:p w14:paraId="3C71D336" w14:textId="25643C39" w:rsidR="00885FD7" w:rsidRDefault="00885FD7" w:rsidP="00B92944">
      <w:pPr>
        <w:spacing w:before="135"/>
        <w:ind w:left="720"/>
        <w:rPr>
          <w:color w:val="231F20"/>
        </w:rPr>
      </w:pPr>
      <w:r w:rsidRPr="002046B8">
        <w:rPr>
          <w:i/>
          <w:iCs/>
          <w:color w:val="231F20"/>
        </w:rPr>
        <w:t>See</w:t>
      </w:r>
      <w:r>
        <w:rPr>
          <w:color w:val="231F20"/>
        </w:rPr>
        <w:t xml:space="preserve"> Va</w:t>
      </w:r>
      <w:r w:rsidR="002F24E0">
        <w:rPr>
          <w:color w:val="231F20"/>
        </w:rPr>
        <w:t>.</w:t>
      </w:r>
      <w:r>
        <w:rPr>
          <w:color w:val="231F20"/>
        </w:rPr>
        <w:t xml:space="preserve"> Code § 8.01-377.1 indicating that partial summary judgment is appropriate. </w:t>
      </w:r>
    </w:p>
    <w:p w14:paraId="3A287EBF" w14:textId="420106E2" w:rsidR="00971BCF" w:rsidRDefault="00971BCF" w:rsidP="00B92944">
      <w:pPr>
        <w:spacing w:before="135"/>
        <w:ind w:left="720"/>
      </w:pPr>
      <w:r>
        <w:rPr>
          <w:color w:val="231F20"/>
        </w:rPr>
        <w:t>2017—</w:t>
      </w:r>
      <w:r>
        <w:rPr>
          <w:i/>
          <w:color w:val="231F20"/>
        </w:rPr>
        <w:t>Summers v. Syptak</w:t>
      </w:r>
      <w:r>
        <w:rPr>
          <w:color w:val="231F20"/>
        </w:rPr>
        <w:t>, 293 Va. 606, 801 S.E.2d 422.</w:t>
      </w:r>
    </w:p>
    <w:p w14:paraId="3E932CF2" w14:textId="77777777" w:rsidR="00971BCF" w:rsidRDefault="00FF32D1" w:rsidP="00901D29">
      <w:pPr>
        <w:pStyle w:val="BodyText"/>
        <w:spacing w:before="120" w:after="120"/>
        <w:ind w:left="1440"/>
        <w:jc w:val="both"/>
        <w:rPr>
          <w:color w:val="231F20"/>
        </w:rPr>
      </w:pPr>
      <w:r>
        <w:rPr>
          <w:color w:val="231F20"/>
        </w:rPr>
        <w:t>In this medical malpractice action p</w:t>
      </w:r>
      <w:r w:rsidR="00971BCF">
        <w:rPr>
          <w:color w:val="231F20"/>
        </w:rPr>
        <w:t xml:space="preserve">laintiff alleged certain inappropriate statements made by a family practice doctor.  At summary judgment stage plaintiff was required to </w:t>
      </w:r>
      <w:r w:rsidR="00986613">
        <w:rPr>
          <w:color w:val="231F20"/>
        </w:rPr>
        <w:t>present expert opinion establishing that statements were a proximate cause of injury.  Failure to do so justified entry of summary judgment.</w:t>
      </w:r>
    </w:p>
    <w:p w14:paraId="2F30054D" w14:textId="7C47BCB8" w:rsidR="009910CD" w:rsidRDefault="00FC2690" w:rsidP="00B92944">
      <w:pPr>
        <w:spacing w:before="135"/>
        <w:ind w:left="720" w:right="700"/>
      </w:pPr>
      <w:r>
        <w:rPr>
          <w:color w:val="231F20"/>
        </w:rPr>
        <w:t>2009—</w:t>
      </w:r>
      <w:r>
        <w:rPr>
          <w:i/>
          <w:color w:val="231F20"/>
        </w:rPr>
        <w:t>Hyland v.</w:t>
      </w:r>
      <w:r w:rsidR="00B64C57">
        <w:rPr>
          <w:i/>
          <w:color w:val="231F20"/>
        </w:rPr>
        <w:t xml:space="preserve"> </w:t>
      </w:r>
      <w:r>
        <w:rPr>
          <w:i/>
          <w:color w:val="231F20"/>
        </w:rPr>
        <w:t>Raytheon Tech. Servs. Co.</w:t>
      </w:r>
      <w:r>
        <w:rPr>
          <w:color w:val="231F20"/>
        </w:rPr>
        <w:t>, 277 Va.</w:t>
      </w:r>
      <w:r w:rsidR="00B64C57">
        <w:rPr>
          <w:color w:val="231F20"/>
        </w:rPr>
        <w:t xml:space="preserve"> </w:t>
      </w:r>
      <w:r>
        <w:rPr>
          <w:color w:val="231F20"/>
        </w:rPr>
        <w:t>40, 670 S.E.2d</w:t>
      </w:r>
      <w:r w:rsidR="00B64C57">
        <w:rPr>
          <w:color w:val="231F20"/>
        </w:rPr>
        <w:t xml:space="preserve"> </w:t>
      </w:r>
      <w:r>
        <w:rPr>
          <w:color w:val="231F20"/>
        </w:rPr>
        <w:t>746.</w:t>
      </w:r>
    </w:p>
    <w:p w14:paraId="60481617" w14:textId="293A150C" w:rsidR="009910CD" w:rsidRPr="00901D29" w:rsidRDefault="00FC2690" w:rsidP="00A01B9B">
      <w:pPr>
        <w:pStyle w:val="BodyText"/>
        <w:spacing w:before="120" w:after="120"/>
        <w:ind w:left="1440"/>
        <w:jc w:val="both"/>
        <w:rPr>
          <w:color w:val="231F20"/>
        </w:rPr>
      </w:pPr>
      <w:r>
        <w:rPr>
          <w:color w:val="231F20"/>
        </w:rPr>
        <w:t>Trial court improperly granted s</w:t>
      </w:r>
      <w:r w:rsidR="00AB18B1">
        <w:rPr>
          <w:color w:val="231F20"/>
        </w:rPr>
        <w:t>ummary judgment in this defama</w:t>
      </w:r>
      <w:r>
        <w:rPr>
          <w:color w:val="231F20"/>
        </w:rPr>
        <w:t>tion case. Trial court should not have looked at portion of statement in isolation but looked at the statement as a whole in terms of determining</w:t>
      </w:r>
      <w:r w:rsidRPr="00901D29">
        <w:rPr>
          <w:color w:val="231F20"/>
        </w:rPr>
        <w:t xml:space="preserve"> </w:t>
      </w:r>
      <w:r>
        <w:rPr>
          <w:color w:val="231F20"/>
        </w:rPr>
        <w:t>truth</w:t>
      </w:r>
      <w:r w:rsidRPr="00901D29">
        <w:rPr>
          <w:color w:val="231F20"/>
        </w:rPr>
        <w:t xml:space="preserve"> </w:t>
      </w:r>
      <w:r>
        <w:rPr>
          <w:color w:val="231F20"/>
        </w:rPr>
        <w:t>or</w:t>
      </w:r>
      <w:r w:rsidRPr="00901D29">
        <w:rPr>
          <w:color w:val="231F20"/>
        </w:rPr>
        <w:t xml:space="preserve"> </w:t>
      </w:r>
      <w:r>
        <w:rPr>
          <w:color w:val="231F20"/>
        </w:rPr>
        <w:t>falsity.</w:t>
      </w:r>
      <w:r w:rsidRPr="00901D29">
        <w:rPr>
          <w:color w:val="231F20"/>
        </w:rPr>
        <w:t xml:space="preserve"> </w:t>
      </w:r>
      <w:r>
        <w:rPr>
          <w:color w:val="231F20"/>
        </w:rPr>
        <w:t>It</w:t>
      </w:r>
      <w:r w:rsidRPr="00901D29">
        <w:rPr>
          <w:color w:val="231F20"/>
        </w:rPr>
        <w:t xml:space="preserve"> </w:t>
      </w:r>
      <w:r>
        <w:rPr>
          <w:color w:val="231F20"/>
        </w:rPr>
        <w:t>is</w:t>
      </w:r>
      <w:r w:rsidRPr="00901D29">
        <w:rPr>
          <w:color w:val="231F20"/>
        </w:rPr>
        <w:t xml:space="preserve"> </w:t>
      </w:r>
      <w:r>
        <w:rPr>
          <w:color w:val="231F20"/>
        </w:rPr>
        <w:t>up</w:t>
      </w:r>
      <w:r w:rsidRPr="00901D29">
        <w:rPr>
          <w:color w:val="231F20"/>
        </w:rPr>
        <w:t xml:space="preserve"> </w:t>
      </w:r>
      <w:r>
        <w:rPr>
          <w:color w:val="231F20"/>
        </w:rPr>
        <w:t>to</w:t>
      </w:r>
      <w:r w:rsidRPr="00901D29">
        <w:rPr>
          <w:color w:val="231F20"/>
        </w:rPr>
        <w:t xml:space="preserve"> </w:t>
      </w:r>
      <w:r>
        <w:rPr>
          <w:color w:val="231F20"/>
        </w:rPr>
        <w:t>the</w:t>
      </w:r>
      <w:r w:rsidRPr="00901D29">
        <w:rPr>
          <w:color w:val="231F20"/>
        </w:rPr>
        <w:t xml:space="preserve"> </w:t>
      </w:r>
      <w:r>
        <w:rPr>
          <w:color w:val="231F20"/>
        </w:rPr>
        <w:t>court</w:t>
      </w:r>
      <w:r w:rsidRPr="00901D29">
        <w:rPr>
          <w:color w:val="231F20"/>
        </w:rPr>
        <w:t xml:space="preserve"> </w:t>
      </w:r>
      <w:r>
        <w:rPr>
          <w:color w:val="231F20"/>
        </w:rPr>
        <w:t>to</w:t>
      </w:r>
      <w:r w:rsidRPr="00901D29">
        <w:rPr>
          <w:color w:val="231F20"/>
        </w:rPr>
        <w:t xml:space="preserve"> </w:t>
      </w:r>
      <w:r>
        <w:rPr>
          <w:color w:val="231F20"/>
        </w:rPr>
        <w:t>determine</w:t>
      </w:r>
      <w:r w:rsidRPr="00901D29">
        <w:rPr>
          <w:color w:val="231F20"/>
        </w:rPr>
        <w:t xml:space="preserve"> </w:t>
      </w:r>
      <w:r>
        <w:rPr>
          <w:color w:val="231F20"/>
        </w:rPr>
        <w:t>whether or not the statement is provably false. If it is, then it may be subject to a defamation claim that then will be decided by the jury as to the truth or falsity of the statement. If the trial court determines that the statement is not provably false, then it in effect becomes a</w:t>
      </w:r>
      <w:r w:rsidRPr="00901D29">
        <w:rPr>
          <w:color w:val="231F20"/>
        </w:rPr>
        <w:t xml:space="preserve"> </w:t>
      </w:r>
      <w:r>
        <w:rPr>
          <w:color w:val="231F20"/>
        </w:rPr>
        <w:t xml:space="preserve">statement of opinion and therefore not subject to a defamation claim. </w:t>
      </w:r>
      <w:r w:rsidR="00A01B9B" w:rsidRPr="00A01B9B">
        <w:rPr>
          <w:color w:val="231F20"/>
          <w:sz w:val="24"/>
          <w:szCs w:val="24"/>
        </w:rPr>
        <w:t xml:space="preserve"> </w:t>
      </w:r>
      <w:r>
        <w:rPr>
          <w:color w:val="231F20"/>
        </w:rPr>
        <w:t>Under the common</w:t>
      </w:r>
      <w:r w:rsidR="007A00D1">
        <w:rPr>
          <w:color w:val="231F20"/>
        </w:rPr>
        <w:t xml:space="preserve"> </w:t>
      </w:r>
      <w:r w:rsidRPr="00901D29">
        <w:rPr>
          <w:color w:val="231F20"/>
        </w:rPr>
        <w:t xml:space="preserve">law, </w:t>
      </w:r>
      <w:r>
        <w:rPr>
          <w:color w:val="231F20"/>
        </w:rPr>
        <w:t>the plaintiff must show that the defendant published a false factual statement that concerns and harms the plaintiff</w:t>
      </w:r>
      <w:r w:rsidRPr="00901D29">
        <w:rPr>
          <w:color w:val="231F20"/>
        </w:rPr>
        <w:t xml:space="preserve"> </w:t>
      </w:r>
      <w:r>
        <w:rPr>
          <w:color w:val="231F20"/>
        </w:rPr>
        <w:t>or</w:t>
      </w:r>
      <w:r w:rsidRPr="00901D29">
        <w:rPr>
          <w:color w:val="231F20"/>
        </w:rPr>
        <w:t xml:space="preserve"> </w:t>
      </w:r>
      <w:r>
        <w:rPr>
          <w:color w:val="231F20"/>
        </w:rPr>
        <w:t>the</w:t>
      </w:r>
      <w:r w:rsidRPr="00901D29">
        <w:rPr>
          <w:color w:val="231F20"/>
        </w:rPr>
        <w:t xml:space="preserve"> </w:t>
      </w:r>
      <w:r>
        <w:rPr>
          <w:color w:val="231F20"/>
        </w:rPr>
        <w:t>plaintiffs’</w:t>
      </w:r>
      <w:r w:rsidRPr="00901D29">
        <w:rPr>
          <w:color w:val="231F20"/>
        </w:rPr>
        <w:t xml:space="preserve"> </w:t>
      </w:r>
      <w:r>
        <w:rPr>
          <w:color w:val="231F20"/>
        </w:rPr>
        <w:t>reputation.</w:t>
      </w:r>
      <w:r w:rsidRPr="00901D29">
        <w:rPr>
          <w:color w:val="231F20"/>
        </w:rPr>
        <w:t xml:space="preserve"> </w:t>
      </w:r>
      <w:r>
        <w:rPr>
          <w:color w:val="231F20"/>
        </w:rPr>
        <w:t>The</w:t>
      </w:r>
      <w:r w:rsidRPr="00901D29">
        <w:rPr>
          <w:color w:val="231F20"/>
        </w:rPr>
        <w:t xml:space="preserve"> </w:t>
      </w:r>
      <w:r>
        <w:rPr>
          <w:color w:val="231F20"/>
        </w:rPr>
        <w:t>plaintiff</w:t>
      </w:r>
      <w:r w:rsidRPr="00901D29">
        <w:rPr>
          <w:color w:val="231F20"/>
        </w:rPr>
        <w:t xml:space="preserve"> </w:t>
      </w:r>
      <w:r>
        <w:rPr>
          <w:color w:val="231F20"/>
        </w:rPr>
        <w:t>must</w:t>
      </w:r>
      <w:r w:rsidRPr="00901D29">
        <w:rPr>
          <w:color w:val="231F20"/>
        </w:rPr>
        <w:t xml:space="preserve"> </w:t>
      </w:r>
      <w:r>
        <w:rPr>
          <w:color w:val="231F20"/>
        </w:rPr>
        <w:t>show</w:t>
      </w:r>
      <w:r w:rsidRPr="00901D29">
        <w:rPr>
          <w:color w:val="231F20"/>
        </w:rPr>
        <w:t xml:space="preserve"> </w:t>
      </w:r>
      <w:r>
        <w:rPr>
          <w:color w:val="231F20"/>
        </w:rPr>
        <w:t>that</w:t>
      </w:r>
      <w:r w:rsidRPr="00901D29">
        <w:rPr>
          <w:color w:val="231F20"/>
        </w:rPr>
        <w:t xml:space="preserve"> </w:t>
      </w:r>
      <w:r>
        <w:rPr>
          <w:color w:val="231F20"/>
        </w:rPr>
        <w:t>the defendant knew the statement was false, or believing the statement was true, lacked a reasonable basis for such belief, or acted negligently in failing to determine the</w:t>
      </w:r>
      <w:r w:rsidR="00B64C57">
        <w:rPr>
          <w:color w:val="231F20"/>
        </w:rPr>
        <w:t xml:space="preserve"> </w:t>
      </w:r>
      <w:r>
        <w:rPr>
          <w:color w:val="231F20"/>
        </w:rPr>
        <w:t>facts.</w:t>
      </w:r>
    </w:p>
    <w:p w14:paraId="3806298B" w14:textId="05DC19C9" w:rsidR="000C0785" w:rsidRPr="00334C7C" w:rsidRDefault="000C0785" w:rsidP="000C0785">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18.62</w:t>
      </w:r>
      <w:r>
        <w:rPr>
          <w:color w:val="231F20"/>
        </w:rPr>
        <w:tab/>
        <w:t>Verdicts</w:t>
      </w:r>
    </w:p>
    <w:p w14:paraId="153F87B0" w14:textId="3DFE742D" w:rsidR="000C0785" w:rsidRPr="000C0785" w:rsidRDefault="000C0785" w:rsidP="000C0785">
      <w:pPr>
        <w:pStyle w:val="BodyText"/>
        <w:spacing w:before="120" w:after="120"/>
        <w:ind w:left="1440"/>
        <w:jc w:val="both"/>
        <w:rPr>
          <w:color w:val="231F20"/>
        </w:rPr>
      </w:pPr>
      <w:r>
        <w:rPr>
          <w:i/>
          <w:iCs/>
          <w:color w:val="231F20"/>
        </w:rPr>
        <w:t>See</w:t>
      </w:r>
      <w:r>
        <w:rPr>
          <w:color w:val="231F20"/>
        </w:rPr>
        <w:t xml:space="preserve"> </w:t>
      </w:r>
      <w:r w:rsidR="002F24E0">
        <w:rPr>
          <w:color w:val="231F20"/>
        </w:rPr>
        <w:t>Va.</w:t>
      </w:r>
      <w:r>
        <w:rPr>
          <w:color w:val="231F20"/>
        </w:rPr>
        <w:t xml:space="preserve"> Code § 8.01-379.3 as to general verdicts accompanied by answers to interrogatories.</w:t>
      </w:r>
    </w:p>
    <w:p w14:paraId="4069DD7D" w14:textId="44C228ED" w:rsidR="00EC3E37" w:rsidRPr="00334C7C" w:rsidRDefault="00EC3E37" w:rsidP="00EC3E37">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18.63</w:t>
      </w:r>
      <w:r>
        <w:rPr>
          <w:color w:val="231F20"/>
        </w:rPr>
        <w:tab/>
        <w:t>Waiver</w:t>
      </w:r>
    </w:p>
    <w:p w14:paraId="3862CCA4" w14:textId="525FC909" w:rsidR="00EC3E37" w:rsidRPr="003C6AE5" w:rsidRDefault="00EC3E37" w:rsidP="00EC3E37">
      <w:pPr>
        <w:pStyle w:val="BodyText"/>
        <w:spacing w:before="120" w:after="120"/>
        <w:ind w:left="1440"/>
        <w:jc w:val="both"/>
        <w:rPr>
          <w:color w:val="231F20"/>
        </w:rPr>
      </w:pPr>
      <w:r>
        <w:rPr>
          <w:i/>
          <w:iCs/>
          <w:color w:val="231F20"/>
        </w:rPr>
        <w:t>See</w:t>
      </w:r>
      <w:r>
        <w:rPr>
          <w:color w:val="231F20"/>
        </w:rPr>
        <w:t xml:space="preserve"> </w:t>
      </w:r>
      <w:r w:rsidR="002F24E0">
        <w:rPr>
          <w:color w:val="231F20"/>
        </w:rPr>
        <w:t>Va.</w:t>
      </w:r>
      <w:r>
        <w:rPr>
          <w:color w:val="231F20"/>
        </w:rPr>
        <w:t xml:space="preserve"> Code § 8.01-420.7 as to waiver of attorney-client privilege or work product.</w:t>
      </w:r>
    </w:p>
    <w:p w14:paraId="466C363F" w14:textId="77777777" w:rsidR="00EC3E37" w:rsidRDefault="00EC3E37">
      <w:pPr>
        <w:rPr>
          <w:b/>
          <w:color w:val="231F20"/>
          <w:sz w:val="40"/>
        </w:rPr>
      </w:pPr>
    </w:p>
    <w:p w14:paraId="48845642" w14:textId="22B9A142" w:rsidR="007975D6" w:rsidRDefault="007975D6">
      <w:pPr>
        <w:rPr>
          <w:b/>
          <w:color w:val="231F20"/>
          <w:sz w:val="40"/>
        </w:rPr>
      </w:pPr>
      <w:r>
        <w:rPr>
          <w:b/>
          <w:color w:val="231F20"/>
          <w:sz w:val="40"/>
        </w:rPr>
        <w:br w:type="page"/>
      </w:r>
    </w:p>
    <w:p w14:paraId="17EDFD04" w14:textId="77777777" w:rsidR="00BF6613" w:rsidRDefault="00FC2690" w:rsidP="00BF6613">
      <w:pPr>
        <w:spacing w:before="155" w:line="328" w:lineRule="auto"/>
        <w:ind w:left="16" w:right="90" w:hanging="16"/>
        <w:jc w:val="center"/>
        <w:rPr>
          <w:b/>
          <w:color w:val="231F20"/>
          <w:sz w:val="40"/>
        </w:rPr>
      </w:pPr>
      <w:r>
        <w:rPr>
          <w:b/>
          <w:color w:val="231F20"/>
          <w:sz w:val="40"/>
        </w:rPr>
        <w:lastRenderedPageBreak/>
        <w:t>Chapter 19</w:t>
      </w:r>
    </w:p>
    <w:p w14:paraId="20105088" w14:textId="77777777" w:rsidR="009910CD" w:rsidRDefault="00FC2690" w:rsidP="00BF6613">
      <w:pPr>
        <w:spacing w:before="155" w:line="328" w:lineRule="auto"/>
        <w:ind w:left="16" w:right="90" w:hanging="16"/>
        <w:jc w:val="center"/>
        <w:rPr>
          <w:b/>
          <w:color w:val="231F20"/>
          <w:w w:val="95"/>
          <w:sz w:val="40"/>
        </w:rPr>
      </w:pPr>
      <w:r>
        <w:rPr>
          <w:b/>
          <w:color w:val="231F20"/>
          <w:w w:val="95"/>
          <w:sz w:val="40"/>
        </w:rPr>
        <w:t>DAMAGES</w:t>
      </w:r>
    </w:p>
    <w:p w14:paraId="43D16830" w14:textId="7C9FA5AF" w:rsidR="00E93A6C" w:rsidRPr="00334C7C" w:rsidRDefault="00E93A6C" w:rsidP="00E93A6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19.03</w:t>
      </w:r>
      <w:r>
        <w:rPr>
          <w:color w:val="231F20"/>
        </w:rPr>
        <w:tab/>
        <w:t>Attorneys’ Fees</w:t>
      </w:r>
    </w:p>
    <w:p w14:paraId="5396CD0E" w14:textId="0763E7C6" w:rsidR="00E93A6C" w:rsidRDefault="00E93A6C" w:rsidP="00E93A6C">
      <w:pPr>
        <w:spacing w:before="135"/>
        <w:ind w:left="720"/>
      </w:pPr>
      <w:r>
        <w:rPr>
          <w:color w:val="231F20"/>
        </w:rPr>
        <w:t>2021</w:t>
      </w:r>
      <w:r w:rsidRPr="000E608E">
        <w:rPr>
          <w:color w:val="231F20"/>
        </w:rPr>
        <w:t>—</w:t>
      </w:r>
      <w:r>
        <w:rPr>
          <w:i/>
          <w:color w:val="231F20"/>
        </w:rPr>
        <w:t>St. John v. Thompson.</w:t>
      </w:r>
      <w:r w:rsidRPr="000E608E">
        <w:rPr>
          <w:color w:val="231F20"/>
        </w:rPr>
        <w:t xml:space="preserve">, </w:t>
      </w:r>
      <w:r>
        <w:rPr>
          <w:color w:val="231F20"/>
        </w:rPr>
        <w:t>299</w:t>
      </w:r>
      <w:r w:rsidRPr="000E608E">
        <w:rPr>
          <w:color w:val="231F20"/>
        </w:rPr>
        <w:t xml:space="preserve"> Va. </w:t>
      </w:r>
      <w:r>
        <w:rPr>
          <w:color w:val="231F20"/>
        </w:rPr>
        <w:t>431</w:t>
      </w:r>
      <w:r w:rsidRPr="000E608E">
        <w:rPr>
          <w:color w:val="231F20"/>
        </w:rPr>
        <w:t xml:space="preserve">, </w:t>
      </w:r>
      <w:r>
        <w:rPr>
          <w:color w:val="231F20"/>
        </w:rPr>
        <w:t>854</w:t>
      </w:r>
      <w:r w:rsidRPr="000E608E">
        <w:rPr>
          <w:color w:val="231F20"/>
        </w:rPr>
        <w:t xml:space="preserve"> S.E.2d </w:t>
      </w:r>
      <w:r w:rsidR="008429CB">
        <w:rPr>
          <w:color w:val="231F20"/>
        </w:rPr>
        <w:t>468</w:t>
      </w:r>
      <w:r w:rsidRPr="000E608E">
        <w:rPr>
          <w:color w:val="231F20"/>
        </w:rPr>
        <w:t>.</w:t>
      </w:r>
    </w:p>
    <w:p w14:paraId="5B458733" w14:textId="32623E48" w:rsidR="00E93A6C" w:rsidRDefault="008429CB" w:rsidP="00004CD3">
      <w:pPr>
        <w:spacing w:before="135"/>
        <w:ind w:left="1440"/>
        <w:jc w:val="both"/>
        <w:rPr>
          <w:color w:val="231F20"/>
        </w:rPr>
      </w:pPr>
      <w:r>
        <w:rPr>
          <w:color w:val="231F20"/>
        </w:rPr>
        <w:t xml:space="preserve">Award of attorneys’ fees in a fraud case does not require a </w:t>
      </w:r>
      <w:r w:rsidR="00AD3B33">
        <w:rPr>
          <w:color w:val="231F20"/>
        </w:rPr>
        <w:t>showing of especially egregious fraud.</w:t>
      </w:r>
    </w:p>
    <w:p w14:paraId="672C9A6A" w14:textId="51A7CE52" w:rsidR="00E85794" w:rsidRPr="00334C7C" w:rsidRDefault="00E85794" w:rsidP="00E85794">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19.12</w:t>
      </w:r>
      <w:r>
        <w:rPr>
          <w:color w:val="231F20"/>
        </w:rPr>
        <w:tab/>
        <w:t>Emotional Distress</w:t>
      </w:r>
    </w:p>
    <w:p w14:paraId="61B7251A" w14:textId="77777777" w:rsidR="00E85794" w:rsidRDefault="00E85794" w:rsidP="00E85794">
      <w:pPr>
        <w:spacing w:before="135"/>
        <w:ind w:left="720"/>
      </w:pPr>
      <w:r w:rsidRPr="000E608E">
        <w:rPr>
          <w:color w:val="231F20"/>
        </w:rPr>
        <w:t>20</w:t>
      </w:r>
      <w:r>
        <w:rPr>
          <w:color w:val="231F20"/>
        </w:rPr>
        <w:t>19</w:t>
      </w:r>
      <w:r w:rsidRPr="000E608E">
        <w:rPr>
          <w:color w:val="231F20"/>
        </w:rPr>
        <w:t>—</w:t>
      </w:r>
      <w:r>
        <w:rPr>
          <w:i/>
          <w:color w:val="231F20"/>
        </w:rPr>
        <w:t>AH v. Church of God in Christ, Inc.</w:t>
      </w:r>
      <w:r w:rsidRPr="000E608E">
        <w:rPr>
          <w:color w:val="231F20"/>
        </w:rPr>
        <w:t xml:space="preserve">, </w:t>
      </w:r>
      <w:r>
        <w:rPr>
          <w:color w:val="231F20"/>
        </w:rPr>
        <w:t>297</w:t>
      </w:r>
      <w:r w:rsidRPr="000E608E">
        <w:rPr>
          <w:color w:val="231F20"/>
        </w:rPr>
        <w:t xml:space="preserve"> Va. </w:t>
      </w:r>
      <w:r>
        <w:rPr>
          <w:color w:val="231F20"/>
        </w:rPr>
        <w:t>604</w:t>
      </w:r>
      <w:r w:rsidRPr="000E608E">
        <w:rPr>
          <w:color w:val="231F20"/>
        </w:rPr>
        <w:t xml:space="preserve">, </w:t>
      </w:r>
      <w:r>
        <w:rPr>
          <w:color w:val="231F20"/>
        </w:rPr>
        <w:t>831</w:t>
      </w:r>
      <w:r w:rsidRPr="000E608E">
        <w:rPr>
          <w:color w:val="231F20"/>
        </w:rPr>
        <w:t xml:space="preserve"> S.E.2d </w:t>
      </w:r>
      <w:r>
        <w:rPr>
          <w:color w:val="231F20"/>
        </w:rPr>
        <w:t>460</w:t>
      </w:r>
      <w:r w:rsidRPr="000E608E">
        <w:rPr>
          <w:color w:val="231F20"/>
        </w:rPr>
        <w:t>.</w:t>
      </w:r>
    </w:p>
    <w:p w14:paraId="4A174484" w14:textId="5756F241" w:rsidR="00E85794" w:rsidRDefault="00E85794" w:rsidP="00004CD3">
      <w:pPr>
        <w:spacing w:before="135"/>
        <w:ind w:left="1440"/>
        <w:jc w:val="both"/>
        <w:rPr>
          <w:color w:val="231F20"/>
        </w:rPr>
      </w:pPr>
      <w:r>
        <w:rPr>
          <w:color w:val="231F20"/>
        </w:rPr>
        <w:t xml:space="preserve">Matter was before the court on a grant of a demurrer. As such all factual allegations expressly </w:t>
      </w:r>
      <w:r w:rsidR="00E510B9">
        <w:rPr>
          <w:color w:val="231F20"/>
        </w:rPr>
        <w:t>pled</w:t>
      </w:r>
      <w:r>
        <w:rPr>
          <w:color w:val="231F20"/>
        </w:rPr>
        <w:t xml:space="preserve"> are accepted as true and allegations are looked at in the light most favorable to the plaintiff.  Plaintiff alleged abuse by a church employee.  As a general rule there is no duty to warn or protect against acts of criminal assault by third persons.  The exceptions to that are where a defendant expressly assumes the duty and the other is where duty is imposed when a special relationship exists between the defendant and the third party or between the defendant and the plaintiff, which gives a right of protection to the plaintiff.  The negligent hiring in this case was dismissed because to properly assert such a claim, the plaintiff must show that the employee’s propensity to cause injury to others was either known or should have been discovered by reasonable investigation. The negligent retention claim was likewise properly dismissed because it was not adequately alleged that the employer knew or should have known that the employee was dangerous and likely to harm others.  The freestanding claim for negligent supervision was likewise properly dismissed because there is no duty of reasonable care imposed on the employer in the supervision of its employees under these circumstance</w:t>
      </w:r>
      <w:r w:rsidR="00E510B9">
        <w:rPr>
          <w:color w:val="231F20"/>
        </w:rPr>
        <w:t>s</w:t>
      </w:r>
      <w:r>
        <w:rPr>
          <w:color w:val="231F20"/>
        </w:rPr>
        <w:t>.  As to the employer’s vicarious liability, the act must occur while the employee was in fact performing a specific job-related service for the employer and must be within the scope of the duties of the employment and in the execution of the service for which the employee was engaged.  Based on the facts presented, vicarious liability is properly alleged.  As to the recovery of emotional distress damages, that has been properly alleged based upon the existence of the duties as stated above.</w:t>
      </w:r>
    </w:p>
    <w:p w14:paraId="64B8C763" w14:textId="0DA8FAC1" w:rsidR="000F5A2D" w:rsidRDefault="000F5A2D" w:rsidP="00EF48BA">
      <w:pPr>
        <w:tabs>
          <w:tab w:val="left" w:pos="1440"/>
          <w:tab w:val="left" w:pos="2041"/>
        </w:tabs>
        <w:spacing w:before="86"/>
        <w:ind w:left="720"/>
        <w:rPr>
          <w:b/>
        </w:rPr>
      </w:pPr>
      <w:r>
        <w:rPr>
          <w:b/>
          <w:color w:val="231F20"/>
        </w:rPr>
        <w:t>[6]</w:t>
      </w:r>
      <w:r>
        <w:rPr>
          <w:b/>
          <w:color w:val="231F20"/>
        </w:rPr>
        <w:tab/>
        <w:t>Proof</w:t>
      </w:r>
    </w:p>
    <w:p w14:paraId="34B29824" w14:textId="283955FA" w:rsidR="000F5A2D" w:rsidRDefault="000F5A2D" w:rsidP="008F298C">
      <w:pPr>
        <w:spacing w:before="126"/>
        <w:ind w:left="720"/>
        <w:jc w:val="both"/>
      </w:pPr>
      <w:r>
        <w:rPr>
          <w:color w:val="231F20"/>
        </w:rPr>
        <w:t>2021—Northern Virginia Kitchen, Bath and Basement, Inc. v. Ellis, 299 Va. 615, 856 S.E.2d 593.</w:t>
      </w:r>
    </w:p>
    <w:p w14:paraId="42836B14" w14:textId="3C212E7F" w:rsidR="000F5A2D" w:rsidRPr="00901D29" w:rsidRDefault="000F5A2D" w:rsidP="000F5A2D">
      <w:pPr>
        <w:pStyle w:val="BodyText"/>
        <w:spacing w:before="120" w:after="120"/>
        <w:ind w:left="1440"/>
        <w:jc w:val="both"/>
        <w:rPr>
          <w:color w:val="231F20"/>
        </w:rPr>
      </w:pPr>
      <w:r>
        <w:rPr>
          <w:color w:val="231F20"/>
        </w:rPr>
        <w:t xml:space="preserve">Suit for racial harassment </w:t>
      </w:r>
      <w:r w:rsidR="00192741">
        <w:rPr>
          <w:color w:val="231F20"/>
        </w:rPr>
        <w:t>under 8.01-42.1 et al.  There is no requirement for economic damages as a predicate for the award of non-economic damages in this case.</w:t>
      </w:r>
    </w:p>
    <w:p w14:paraId="2CEE2F39" w14:textId="77777777" w:rsidR="00673581" w:rsidRPr="00334C7C" w:rsidRDefault="00673581" w:rsidP="00673581">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19.13</w:t>
      </w:r>
      <w:r>
        <w:rPr>
          <w:color w:val="231F20"/>
        </w:rPr>
        <w:tab/>
        <w:t>Excess</w:t>
      </w:r>
      <w:r w:rsidRPr="00334C7C">
        <w:rPr>
          <w:color w:val="231F20"/>
        </w:rPr>
        <w:t xml:space="preserve"> Verdict</w:t>
      </w:r>
    </w:p>
    <w:p w14:paraId="489671ED" w14:textId="77777777" w:rsidR="009910CD" w:rsidRDefault="00FC2690" w:rsidP="00B92944">
      <w:pPr>
        <w:spacing w:before="135"/>
        <w:ind w:left="720"/>
      </w:pPr>
      <w:r>
        <w:rPr>
          <w:color w:val="231F20"/>
        </w:rPr>
        <w:t>2013—</w:t>
      </w:r>
      <w:r>
        <w:rPr>
          <w:i/>
          <w:color w:val="231F20"/>
        </w:rPr>
        <w:t>Allied Concrete Company v.</w:t>
      </w:r>
      <w:r w:rsidR="00B64C57">
        <w:rPr>
          <w:i/>
          <w:color w:val="231F20"/>
        </w:rPr>
        <w:t xml:space="preserve"> </w:t>
      </w:r>
      <w:r>
        <w:rPr>
          <w:i/>
          <w:color w:val="231F20"/>
        </w:rPr>
        <w:t>Lester</w:t>
      </w:r>
      <w:r>
        <w:rPr>
          <w:color w:val="231F20"/>
        </w:rPr>
        <w:t>, 285 Va.</w:t>
      </w:r>
      <w:r w:rsidR="00B64C57">
        <w:rPr>
          <w:color w:val="231F20"/>
        </w:rPr>
        <w:t xml:space="preserve"> </w:t>
      </w:r>
      <w:r>
        <w:rPr>
          <w:color w:val="231F20"/>
        </w:rPr>
        <w:t>295, 736 S.E.2d</w:t>
      </w:r>
      <w:r w:rsidR="00B64C57">
        <w:rPr>
          <w:color w:val="231F20"/>
        </w:rPr>
        <w:t xml:space="preserve"> </w:t>
      </w:r>
      <w:r>
        <w:rPr>
          <w:color w:val="231F20"/>
        </w:rPr>
        <w:t>699.</w:t>
      </w:r>
    </w:p>
    <w:p w14:paraId="4E9D713B" w14:textId="77777777" w:rsidR="009910CD" w:rsidRDefault="00FC2690" w:rsidP="00901D29">
      <w:pPr>
        <w:pStyle w:val="BodyText"/>
        <w:spacing w:before="120" w:after="120"/>
        <w:ind w:left="1440"/>
        <w:jc w:val="both"/>
        <w:rPr>
          <w:color w:val="231F20"/>
        </w:rPr>
      </w:pPr>
      <w:r>
        <w:rPr>
          <w:color w:val="231F20"/>
        </w:rPr>
        <w:t>Trial</w:t>
      </w:r>
      <w:r w:rsidRPr="00901D29">
        <w:rPr>
          <w:color w:val="231F20"/>
        </w:rPr>
        <w:t xml:space="preserve"> </w:t>
      </w:r>
      <w:r>
        <w:rPr>
          <w:color w:val="231F20"/>
        </w:rPr>
        <w:t>court</w:t>
      </w:r>
      <w:r w:rsidRPr="00901D29">
        <w:rPr>
          <w:color w:val="231F20"/>
        </w:rPr>
        <w:t xml:space="preserve"> </w:t>
      </w:r>
      <w:r>
        <w:rPr>
          <w:color w:val="231F20"/>
        </w:rPr>
        <w:t>improperly</w:t>
      </w:r>
      <w:r w:rsidRPr="00901D29">
        <w:rPr>
          <w:color w:val="231F20"/>
        </w:rPr>
        <w:t xml:space="preserve"> </w:t>
      </w:r>
      <w:r>
        <w:rPr>
          <w:color w:val="231F20"/>
        </w:rPr>
        <w:t>based</w:t>
      </w:r>
      <w:r w:rsidRPr="00901D29">
        <w:rPr>
          <w:color w:val="231F20"/>
        </w:rPr>
        <w:t xml:space="preserve"> </w:t>
      </w:r>
      <w:r>
        <w:rPr>
          <w:color w:val="231F20"/>
        </w:rPr>
        <w:t>decision</w:t>
      </w:r>
      <w:r w:rsidRPr="00901D29">
        <w:rPr>
          <w:color w:val="231F20"/>
        </w:rPr>
        <w:t xml:space="preserve"> </w:t>
      </w:r>
      <w:r>
        <w:rPr>
          <w:color w:val="231F20"/>
        </w:rPr>
        <w:t>to</w:t>
      </w:r>
      <w:r w:rsidRPr="00901D29">
        <w:rPr>
          <w:color w:val="231F20"/>
        </w:rPr>
        <w:t xml:space="preserve"> </w:t>
      </w:r>
      <w:r>
        <w:rPr>
          <w:color w:val="231F20"/>
        </w:rPr>
        <w:t>grant</w:t>
      </w:r>
      <w:r w:rsidRPr="00901D29">
        <w:rPr>
          <w:color w:val="231F20"/>
        </w:rPr>
        <w:t xml:space="preserve"> </w:t>
      </w:r>
      <w:r>
        <w:rPr>
          <w:color w:val="231F20"/>
        </w:rPr>
        <w:t>remittitur</w:t>
      </w:r>
      <w:r w:rsidRPr="00901D29">
        <w:rPr>
          <w:color w:val="231F20"/>
        </w:rPr>
        <w:t xml:space="preserve"> </w:t>
      </w:r>
      <w:r>
        <w:rPr>
          <w:color w:val="231F20"/>
        </w:rPr>
        <w:t>on</w:t>
      </w:r>
      <w:r w:rsidRPr="00901D29">
        <w:rPr>
          <w:color w:val="231F20"/>
        </w:rPr>
        <w:t xml:space="preserve"> </w:t>
      </w:r>
      <w:r>
        <w:rPr>
          <w:color w:val="231F20"/>
        </w:rPr>
        <w:t>improper comparison of awards and failed to consider proper factors in evidence. In addition, trial court failed to provide any way of ascertaining whether the reduced award bears a reasonable relation to damages suffered by the</w:t>
      </w:r>
      <w:r w:rsidR="00B64C57">
        <w:rPr>
          <w:color w:val="231F20"/>
        </w:rPr>
        <w:t xml:space="preserve"> </w:t>
      </w:r>
      <w:r>
        <w:rPr>
          <w:color w:val="231F20"/>
        </w:rPr>
        <w:t>plaintiff.</w:t>
      </w:r>
    </w:p>
    <w:p w14:paraId="217F7039" w14:textId="77777777" w:rsidR="00004CD3" w:rsidRDefault="00004CD3">
      <w:pPr>
        <w:rPr>
          <w:b/>
          <w:bCs/>
          <w:color w:val="231F20"/>
        </w:rPr>
      </w:pPr>
      <w:r>
        <w:rPr>
          <w:color w:val="231F20"/>
        </w:rPr>
        <w:br w:type="page"/>
      </w:r>
    </w:p>
    <w:p w14:paraId="090DC000" w14:textId="3D989456" w:rsidR="009910CD" w:rsidRPr="00334C7C" w:rsidRDefault="00FC2690" w:rsidP="00334C7C">
      <w:pPr>
        <w:pStyle w:val="Heading4"/>
        <w:tabs>
          <w:tab w:val="left" w:pos="720"/>
        </w:tabs>
        <w:spacing w:before="0" w:line="241" w:lineRule="exact"/>
        <w:ind w:left="0"/>
        <w:rPr>
          <w:color w:val="231F20"/>
        </w:rPr>
      </w:pPr>
      <w:r>
        <w:rPr>
          <w:color w:val="231F20"/>
        </w:rPr>
        <w:lastRenderedPageBreak/>
        <w:t>§</w:t>
      </w:r>
      <w:r w:rsidRPr="00334C7C">
        <w:rPr>
          <w:color w:val="231F20"/>
        </w:rPr>
        <w:t xml:space="preserve"> </w:t>
      </w:r>
      <w:r>
        <w:rPr>
          <w:color w:val="231F20"/>
        </w:rPr>
        <w:t>19.17</w:t>
      </w:r>
      <w:r>
        <w:rPr>
          <w:color w:val="231F20"/>
        </w:rPr>
        <w:tab/>
        <w:t>Inadequate</w:t>
      </w:r>
      <w:r w:rsidRPr="00334C7C">
        <w:rPr>
          <w:color w:val="231F20"/>
        </w:rPr>
        <w:t xml:space="preserve"> Verdict</w:t>
      </w:r>
    </w:p>
    <w:p w14:paraId="6F8B7220" w14:textId="77777777" w:rsidR="00ED074F" w:rsidRDefault="00ED074F" w:rsidP="00B92944">
      <w:pPr>
        <w:spacing w:before="126"/>
        <w:ind w:left="720"/>
      </w:pPr>
      <w:r>
        <w:rPr>
          <w:color w:val="231F20"/>
        </w:rPr>
        <w:t>2017—Gilliam v. Immel, 293 Va. 18, 795 S.E.2d 458.</w:t>
      </w:r>
    </w:p>
    <w:p w14:paraId="53A62352" w14:textId="77777777" w:rsidR="00ED074F" w:rsidRPr="00901D29" w:rsidRDefault="00ED074F" w:rsidP="00901D29">
      <w:pPr>
        <w:pStyle w:val="BodyText"/>
        <w:spacing w:before="120" w:after="120"/>
        <w:ind w:left="1440"/>
        <w:jc w:val="both"/>
        <w:rPr>
          <w:color w:val="231F20"/>
        </w:rPr>
      </w:pPr>
      <w:r>
        <w:rPr>
          <w:color w:val="231F20"/>
        </w:rPr>
        <w:t>Jury returned verdict in favor of plaintiff but with zero damages in case where damages were clearly questionable.  Verdict upheld.</w:t>
      </w:r>
    </w:p>
    <w:p w14:paraId="27A5D7A2" w14:textId="77777777" w:rsidR="009910CD" w:rsidRDefault="00FC2690" w:rsidP="00B92944">
      <w:pPr>
        <w:spacing w:before="126"/>
        <w:ind w:left="720"/>
      </w:pPr>
      <w:r>
        <w:rPr>
          <w:color w:val="231F20"/>
        </w:rPr>
        <w:t>2015—</w:t>
      </w:r>
      <w:r>
        <w:rPr>
          <w:i/>
          <w:color w:val="231F20"/>
        </w:rPr>
        <w:t>Cosby v.</w:t>
      </w:r>
      <w:r w:rsidR="00B64C57">
        <w:rPr>
          <w:i/>
          <w:color w:val="231F20"/>
        </w:rPr>
        <w:t xml:space="preserve"> </w:t>
      </w:r>
      <w:r>
        <w:rPr>
          <w:i/>
          <w:color w:val="231F20"/>
        </w:rPr>
        <w:t>Clem</w:t>
      </w:r>
      <w:r>
        <w:rPr>
          <w:color w:val="231F20"/>
        </w:rPr>
        <w:t>, 290 Va.</w:t>
      </w:r>
      <w:r w:rsidR="00B64C57">
        <w:rPr>
          <w:color w:val="231F20"/>
        </w:rPr>
        <w:t xml:space="preserve"> </w:t>
      </w:r>
      <w:r>
        <w:rPr>
          <w:color w:val="231F20"/>
        </w:rPr>
        <w:t>1, 773 S.E.2d</w:t>
      </w:r>
      <w:r w:rsidR="00B64C57">
        <w:rPr>
          <w:color w:val="231F20"/>
        </w:rPr>
        <w:t xml:space="preserve"> </w:t>
      </w:r>
      <w:r>
        <w:rPr>
          <w:color w:val="231F20"/>
        </w:rPr>
        <w:t>159.</w:t>
      </w:r>
    </w:p>
    <w:p w14:paraId="204E2956" w14:textId="77777777" w:rsidR="009910CD" w:rsidRPr="00901D29" w:rsidRDefault="00FC2690" w:rsidP="00901D29">
      <w:pPr>
        <w:pStyle w:val="BodyText"/>
        <w:spacing w:before="120" w:after="120"/>
        <w:ind w:left="1440"/>
        <w:jc w:val="both"/>
        <w:rPr>
          <w:color w:val="231F20"/>
        </w:rPr>
      </w:pPr>
      <w:r>
        <w:rPr>
          <w:color w:val="231F20"/>
        </w:rPr>
        <w:t>Jury awarded verdict of $9,000.00 with evidence of medical bills of over $180,000.00. Trial court im</w:t>
      </w:r>
      <w:r w:rsidR="00AB18B1">
        <w:rPr>
          <w:color w:val="231F20"/>
        </w:rPr>
        <w:t>properly granted Motion for Ad</w:t>
      </w:r>
      <w:r>
        <w:rPr>
          <w:color w:val="231F20"/>
        </w:rPr>
        <w:t>ditur and added medical bills to the verdict. Jury determination of verdict of $9,000.00 was properly within their</w:t>
      </w:r>
      <w:r w:rsidR="00B64C57">
        <w:rPr>
          <w:color w:val="231F20"/>
        </w:rPr>
        <w:t xml:space="preserve"> </w:t>
      </w:r>
      <w:r>
        <w:rPr>
          <w:color w:val="231F20"/>
        </w:rPr>
        <w:t>province.</w:t>
      </w:r>
    </w:p>
    <w:p w14:paraId="719486A8" w14:textId="451FE9A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19.20</w:t>
      </w:r>
      <w:r>
        <w:rPr>
          <w:color w:val="231F20"/>
        </w:rPr>
        <w:tab/>
        <w:t>Loss of</w:t>
      </w:r>
      <w:r w:rsidRPr="00334C7C">
        <w:rPr>
          <w:color w:val="231F20"/>
        </w:rPr>
        <w:t xml:space="preserve"> </w:t>
      </w:r>
      <w:r>
        <w:rPr>
          <w:color w:val="231F20"/>
        </w:rPr>
        <w:t>Earnings</w:t>
      </w:r>
    </w:p>
    <w:p w14:paraId="69FEC0A2" w14:textId="77777777" w:rsidR="009910CD" w:rsidRDefault="00FC2690" w:rsidP="00B92944">
      <w:pPr>
        <w:spacing w:before="126"/>
        <w:ind w:left="720"/>
      </w:pPr>
      <w:r>
        <w:rPr>
          <w:color w:val="231F20"/>
        </w:rPr>
        <w:t>2015—</w:t>
      </w:r>
      <w:r>
        <w:rPr>
          <w:i/>
          <w:color w:val="231F20"/>
        </w:rPr>
        <w:t>Egan v.</w:t>
      </w:r>
      <w:r w:rsidR="00B64C57">
        <w:rPr>
          <w:i/>
          <w:color w:val="231F20"/>
        </w:rPr>
        <w:t xml:space="preserve"> </w:t>
      </w:r>
      <w:r>
        <w:rPr>
          <w:i/>
          <w:color w:val="231F20"/>
        </w:rPr>
        <w:t>Butler</w:t>
      </w:r>
      <w:r>
        <w:rPr>
          <w:color w:val="231F20"/>
        </w:rPr>
        <w:t>, 290 Va.</w:t>
      </w:r>
      <w:r w:rsidR="00B64C57">
        <w:rPr>
          <w:color w:val="231F20"/>
        </w:rPr>
        <w:t xml:space="preserve"> </w:t>
      </w:r>
      <w:r>
        <w:rPr>
          <w:color w:val="231F20"/>
        </w:rPr>
        <w:t>62, 772 S.E.2d</w:t>
      </w:r>
      <w:r w:rsidR="00B64C57">
        <w:rPr>
          <w:color w:val="231F20"/>
        </w:rPr>
        <w:t xml:space="preserve"> </w:t>
      </w:r>
      <w:r>
        <w:rPr>
          <w:color w:val="231F20"/>
        </w:rPr>
        <w:t>765.</w:t>
      </w:r>
    </w:p>
    <w:p w14:paraId="6D30EC61" w14:textId="77777777" w:rsidR="009910CD" w:rsidRPr="00901D29" w:rsidRDefault="00FC2690" w:rsidP="00901D29">
      <w:pPr>
        <w:pStyle w:val="BodyText"/>
        <w:spacing w:before="120" w:after="120"/>
        <w:ind w:left="1440"/>
        <w:jc w:val="both"/>
        <w:rPr>
          <w:color w:val="231F20"/>
        </w:rPr>
      </w:pPr>
      <w:r>
        <w:rPr>
          <w:color w:val="231F20"/>
        </w:rPr>
        <w:t>In this suit by former employee against employer on claims of malicious prosecution and defama</w:t>
      </w:r>
      <w:r w:rsidR="00AB18B1">
        <w:rPr>
          <w:color w:val="231F20"/>
        </w:rPr>
        <w:t>tion trial court improperly ex</w:t>
      </w:r>
      <w:r>
        <w:rPr>
          <w:color w:val="231F20"/>
        </w:rPr>
        <w:t>cluded history of the plaintiff’s prior work. This evidence was properly admissible as bearing on future lost income claim and the failure to admit it is reversible</w:t>
      </w:r>
      <w:r w:rsidR="00B64C57">
        <w:rPr>
          <w:color w:val="231F20"/>
        </w:rPr>
        <w:t xml:space="preserve"> </w:t>
      </w:r>
      <w:r w:rsidRPr="00901D29">
        <w:rPr>
          <w:color w:val="231F20"/>
        </w:rPr>
        <w:t>error.</w:t>
      </w:r>
    </w:p>
    <w:p w14:paraId="08E923CD"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19.23</w:t>
      </w:r>
      <w:r>
        <w:rPr>
          <w:color w:val="231F20"/>
        </w:rPr>
        <w:tab/>
        <w:t>Medical</w:t>
      </w:r>
      <w:r w:rsidRPr="00334C7C">
        <w:rPr>
          <w:color w:val="231F20"/>
        </w:rPr>
        <w:t xml:space="preserve"> </w:t>
      </w:r>
      <w:r>
        <w:rPr>
          <w:color w:val="231F20"/>
        </w:rPr>
        <w:t>Bills</w:t>
      </w:r>
    </w:p>
    <w:p w14:paraId="730F2BF0" w14:textId="77777777" w:rsidR="009910CD" w:rsidRDefault="00FC2690" w:rsidP="00B92944">
      <w:pPr>
        <w:spacing w:before="126"/>
        <w:ind w:left="720"/>
      </w:pPr>
      <w:r>
        <w:rPr>
          <w:color w:val="231F20"/>
        </w:rPr>
        <w:t>2012—</w:t>
      </w:r>
      <w:r>
        <w:rPr>
          <w:i/>
          <w:color w:val="231F20"/>
        </w:rPr>
        <w:t>Galumbeck v.</w:t>
      </w:r>
      <w:r w:rsidR="00B64C57">
        <w:rPr>
          <w:i/>
          <w:color w:val="231F20"/>
        </w:rPr>
        <w:t xml:space="preserve"> </w:t>
      </w:r>
      <w:r>
        <w:rPr>
          <w:i/>
          <w:color w:val="231F20"/>
        </w:rPr>
        <w:t>Lopez</w:t>
      </w:r>
      <w:r>
        <w:rPr>
          <w:color w:val="231F20"/>
        </w:rPr>
        <w:t>, 283 Va.</w:t>
      </w:r>
      <w:r w:rsidR="00B64C57">
        <w:rPr>
          <w:color w:val="231F20"/>
        </w:rPr>
        <w:t xml:space="preserve"> </w:t>
      </w:r>
      <w:r>
        <w:rPr>
          <w:color w:val="231F20"/>
        </w:rPr>
        <w:t>500, 722 S.E.2d</w:t>
      </w:r>
      <w:r w:rsidR="00B64C57">
        <w:rPr>
          <w:color w:val="231F20"/>
        </w:rPr>
        <w:t xml:space="preserve"> </w:t>
      </w:r>
      <w:r>
        <w:rPr>
          <w:color w:val="231F20"/>
        </w:rPr>
        <w:t>551.</w:t>
      </w:r>
    </w:p>
    <w:p w14:paraId="2815866F" w14:textId="77777777" w:rsidR="009910CD" w:rsidRDefault="00FC2690" w:rsidP="00901D29">
      <w:pPr>
        <w:pStyle w:val="BodyText"/>
        <w:spacing w:before="120" w:after="120"/>
        <w:ind w:left="1440"/>
        <w:jc w:val="both"/>
        <w:rPr>
          <w:color w:val="231F20"/>
        </w:rPr>
      </w:pPr>
      <w:r>
        <w:rPr>
          <w:color w:val="231F20"/>
        </w:rPr>
        <w:t>Medical bills were properly admitted into evidence in this medical malpractice case as they were not being offered for the purposes of seeking damages or demonstrating how much money the doctor received, but were offered to contrast the level of emphasis he placed on the financial aspect of the treatment versus the quality of care delivered.</w:t>
      </w:r>
    </w:p>
    <w:p w14:paraId="6E344153" w14:textId="42405F3B" w:rsidR="00103700" w:rsidRPr="00334C7C" w:rsidRDefault="00103700" w:rsidP="00103700">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19.24</w:t>
      </w:r>
      <w:r>
        <w:rPr>
          <w:color w:val="231F20"/>
        </w:rPr>
        <w:tab/>
        <w:t xml:space="preserve">Mitigation </w:t>
      </w:r>
    </w:p>
    <w:p w14:paraId="65BB04E3" w14:textId="5CAB634C" w:rsidR="00103700" w:rsidRDefault="00103700" w:rsidP="00103700">
      <w:pPr>
        <w:spacing w:before="126"/>
        <w:ind w:left="720"/>
      </w:pPr>
      <w:r>
        <w:rPr>
          <w:color w:val="231F20"/>
        </w:rPr>
        <w:t>2024—</w:t>
      </w:r>
      <w:r>
        <w:rPr>
          <w:i/>
          <w:color w:val="231F20"/>
        </w:rPr>
        <w:t>Rodrigue v. Butts-Franklin</w:t>
      </w:r>
      <w:r>
        <w:rPr>
          <w:color w:val="231F20"/>
        </w:rPr>
        <w:t>, 79 Va. App. 645, 896 S.E.2d 810.</w:t>
      </w:r>
    </w:p>
    <w:p w14:paraId="08422FE6" w14:textId="43115E54" w:rsidR="00103700" w:rsidRDefault="00103700" w:rsidP="00901D29">
      <w:pPr>
        <w:pStyle w:val="BodyText"/>
        <w:spacing w:before="120" w:after="120"/>
        <w:ind w:left="1440"/>
        <w:jc w:val="both"/>
        <w:rPr>
          <w:color w:val="231F20"/>
        </w:rPr>
      </w:pPr>
      <w:r>
        <w:rPr>
          <w:color w:val="231F20"/>
        </w:rPr>
        <w:t xml:space="preserve">In failure to mitigate defense, defendant must show when the failure occurred and that it happened after the defendant’s tortious conduct. </w:t>
      </w:r>
    </w:p>
    <w:p w14:paraId="69CE257B" w14:textId="60C7EDEB" w:rsidR="00E7305A" w:rsidRDefault="00E7305A" w:rsidP="00E7305A">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19.30</w:t>
      </w:r>
      <w:r>
        <w:rPr>
          <w:color w:val="231F20"/>
        </w:rPr>
        <w:tab/>
      </w:r>
      <w:r w:rsidR="009E1B17">
        <w:rPr>
          <w:color w:val="231F20"/>
        </w:rPr>
        <w:t>Property Damage</w:t>
      </w:r>
    </w:p>
    <w:p w14:paraId="7E5C21AB" w14:textId="19AC8A33" w:rsidR="00E7305A" w:rsidRDefault="00E7305A" w:rsidP="00E7305A">
      <w:pPr>
        <w:tabs>
          <w:tab w:val="left" w:pos="2121"/>
        </w:tabs>
        <w:spacing w:before="86"/>
        <w:ind w:left="1170" w:hanging="450"/>
        <w:rPr>
          <w:b/>
        </w:rPr>
      </w:pPr>
      <w:r>
        <w:rPr>
          <w:b/>
          <w:color w:val="231F20"/>
        </w:rPr>
        <w:t>[2]</w:t>
      </w:r>
      <w:r>
        <w:rPr>
          <w:b/>
          <w:color w:val="231F20"/>
        </w:rPr>
        <w:tab/>
        <w:t>Measure of Damage for Personal Property</w:t>
      </w:r>
    </w:p>
    <w:p w14:paraId="2F84A052" w14:textId="31B5B2F3" w:rsidR="00E7305A" w:rsidRPr="00E7305A" w:rsidRDefault="00E7305A" w:rsidP="00E7305A">
      <w:pPr>
        <w:spacing w:before="125"/>
        <w:ind w:left="720"/>
      </w:pPr>
      <w:r w:rsidRPr="00E7305A">
        <w:rPr>
          <w:color w:val="231F20"/>
        </w:rPr>
        <w:t>2023—Blue Pearl Veterinary Partners, LLC</w:t>
      </w:r>
      <w:r w:rsidRPr="00E7305A">
        <w:rPr>
          <w:i/>
          <w:color w:val="231F20"/>
        </w:rPr>
        <w:t xml:space="preserve">, </w:t>
      </w:r>
      <w:r w:rsidR="001C0781">
        <w:rPr>
          <w:color w:val="231F20"/>
        </w:rPr>
        <w:t>78</w:t>
      </w:r>
      <w:r w:rsidRPr="00E7305A">
        <w:rPr>
          <w:color w:val="231F20"/>
        </w:rPr>
        <w:t xml:space="preserve"> Va. </w:t>
      </w:r>
      <w:r w:rsidR="001C0781">
        <w:rPr>
          <w:color w:val="231F20"/>
        </w:rPr>
        <w:t>App. 40</w:t>
      </w:r>
      <w:r w:rsidRPr="00E7305A">
        <w:rPr>
          <w:color w:val="231F20"/>
        </w:rPr>
        <w:t xml:space="preserve">, </w:t>
      </w:r>
      <w:r w:rsidR="001C0781">
        <w:rPr>
          <w:color w:val="231F20"/>
        </w:rPr>
        <w:t>888</w:t>
      </w:r>
      <w:r w:rsidRPr="00E7305A">
        <w:rPr>
          <w:color w:val="231F20"/>
        </w:rPr>
        <w:t xml:space="preserve"> S.E.2d </w:t>
      </w:r>
      <w:r w:rsidR="001C0781">
        <w:rPr>
          <w:color w:val="231F20"/>
        </w:rPr>
        <w:t>783</w:t>
      </w:r>
      <w:r w:rsidRPr="00E7305A">
        <w:rPr>
          <w:color w:val="231F20"/>
        </w:rPr>
        <w:t>.</w:t>
      </w:r>
    </w:p>
    <w:p w14:paraId="7D315D1D" w14:textId="1692500C" w:rsidR="00E7305A" w:rsidRPr="00901D29" w:rsidRDefault="00E7305A" w:rsidP="00901D29">
      <w:pPr>
        <w:pStyle w:val="BodyText"/>
        <w:spacing w:before="120" w:after="120"/>
        <w:ind w:left="1440"/>
        <w:jc w:val="both"/>
        <w:rPr>
          <w:color w:val="231F20"/>
        </w:rPr>
      </w:pPr>
      <w:r>
        <w:rPr>
          <w:color w:val="231F20"/>
        </w:rPr>
        <w:t>Suit against veterinarian for injury to dog. Recoverable damages include veterinary expenses that exceed the diminution in the dog’s value. The damages may not include emotional damages to the owner. Where an item has a special value to an owner such as a family portrait, the ordinary methods for determining damages may not apply</w:t>
      </w:r>
      <w:r w:rsidRPr="00E7305A">
        <w:rPr>
          <w:color w:val="231F20"/>
        </w:rPr>
        <w:t>.</w:t>
      </w:r>
    </w:p>
    <w:p w14:paraId="5CD307B2" w14:textId="77777777" w:rsidR="009910CD"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19.31</w:t>
      </w:r>
      <w:r>
        <w:rPr>
          <w:color w:val="231F20"/>
        </w:rPr>
        <w:tab/>
        <w:t>Punitive</w:t>
      </w:r>
      <w:r w:rsidRPr="00334C7C">
        <w:rPr>
          <w:color w:val="231F20"/>
        </w:rPr>
        <w:t xml:space="preserve"> </w:t>
      </w:r>
      <w:r>
        <w:rPr>
          <w:color w:val="231F20"/>
        </w:rPr>
        <w:t>Damages</w:t>
      </w:r>
    </w:p>
    <w:p w14:paraId="26DB1A6C" w14:textId="1293AF5C" w:rsidR="003F11FC" w:rsidRPr="00901D29" w:rsidRDefault="003F11FC" w:rsidP="00901D29">
      <w:pPr>
        <w:pStyle w:val="BodyText"/>
        <w:spacing w:before="120" w:after="120"/>
        <w:ind w:left="1440"/>
        <w:jc w:val="both"/>
        <w:rPr>
          <w:color w:val="231F20"/>
        </w:rPr>
      </w:pPr>
      <w:r w:rsidRPr="002046B8">
        <w:rPr>
          <w:i/>
          <w:iCs/>
          <w:color w:val="231F20"/>
        </w:rPr>
        <w:t>See</w:t>
      </w:r>
      <w:r w:rsidRPr="00901D29">
        <w:rPr>
          <w:color w:val="231F20"/>
        </w:rPr>
        <w:t xml:space="preserve"> </w:t>
      </w:r>
      <w:r w:rsidR="002F24E0">
        <w:rPr>
          <w:color w:val="231F20"/>
        </w:rPr>
        <w:t>Va.</w:t>
      </w:r>
      <w:r w:rsidRPr="00901D29">
        <w:rPr>
          <w:color w:val="231F20"/>
        </w:rPr>
        <w:t xml:space="preserve"> Code § 8.01-44.5 as to punitive damages against intoxicated drivers.</w:t>
      </w:r>
    </w:p>
    <w:p w14:paraId="3E916425" w14:textId="77777777" w:rsidR="009910CD" w:rsidRDefault="00FC2690" w:rsidP="00AF062B">
      <w:pPr>
        <w:tabs>
          <w:tab w:val="left" w:pos="2121"/>
        </w:tabs>
        <w:spacing w:before="86"/>
        <w:ind w:left="1170" w:hanging="450"/>
        <w:rPr>
          <w:b/>
        </w:rPr>
      </w:pPr>
      <w:r>
        <w:rPr>
          <w:b/>
          <w:color w:val="231F20"/>
        </w:rPr>
        <w:t>[1]</w:t>
      </w:r>
      <w:r>
        <w:rPr>
          <w:b/>
          <w:color w:val="231F20"/>
        </w:rPr>
        <w:tab/>
        <w:t>Basis for an</w:t>
      </w:r>
      <w:r>
        <w:rPr>
          <w:b/>
          <w:color w:val="231F20"/>
          <w:spacing w:val="37"/>
        </w:rPr>
        <w:t xml:space="preserve"> </w:t>
      </w:r>
      <w:r>
        <w:rPr>
          <w:b/>
          <w:color w:val="231F20"/>
          <w:spacing w:val="-4"/>
        </w:rPr>
        <w:t>Award</w:t>
      </w:r>
    </w:p>
    <w:p w14:paraId="6C9A9B21" w14:textId="4A805D2D" w:rsidR="00DE609B" w:rsidRDefault="00DE609B" w:rsidP="00DE609B">
      <w:pPr>
        <w:spacing w:before="125"/>
        <w:ind w:left="720"/>
      </w:pPr>
      <w:r>
        <w:rPr>
          <w:color w:val="231F20"/>
        </w:rPr>
        <w:t>2020—</w:t>
      </w:r>
      <w:r>
        <w:rPr>
          <w:i/>
          <w:color w:val="231F20"/>
        </w:rPr>
        <w:t xml:space="preserve">Curtis v. Highfill, </w:t>
      </w:r>
      <w:r>
        <w:rPr>
          <w:color w:val="231F20"/>
        </w:rPr>
        <w:t>298 Va. 499, 840 S.E.2d 321.</w:t>
      </w:r>
    </w:p>
    <w:p w14:paraId="023E30B6" w14:textId="5933D9B5" w:rsidR="00DE609B" w:rsidRPr="00901D29" w:rsidRDefault="00DE609B" w:rsidP="00DE609B">
      <w:pPr>
        <w:pStyle w:val="BodyText"/>
        <w:spacing w:before="120" w:after="120"/>
        <w:ind w:left="1440"/>
        <w:jc w:val="both"/>
        <w:rPr>
          <w:color w:val="231F20"/>
        </w:rPr>
      </w:pPr>
      <w:r>
        <w:rPr>
          <w:color w:val="231F20"/>
        </w:rPr>
        <w:t>Punitive damage claim against physician for improper prescription of medication was stricken at trial.  That was error.  Issue should have been submitted to the jury as jury could have concluded a willful and wanton disregard of patient’s health and safety</w:t>
      </w:r>
      <w:r w:rsidRPr="00901D29">
        <w:rPr>
          <w:color w:val="231F20"/>
        </w:rPr>
        <w:t>.</w:t>
      </w:r>
    </w:p>
    <w:p w14:paraId="6ABBC125" w14:textId="77777777" w:rsidR="009910CD" w:rsidRDefault="00FC2690" w:rsidP="00B92944">
      <w:pPr>
        <w:spacing w:before="125"/>
        <w:ind w:left="720"/>
      </w:pPr>
      <w:r>
        <w:rPr>
          <w:color w:val="231F20"/>
        </w:rPr>
        <w:t>2015—</w:t>
      </w:r>
      <w:r>
        <w:rPr>
          <w:i/>
          <w:color w:val="231F20"/>
        </w:rPr>
        <w:t>Cain v.</w:t>
      </w:r>
      <w:r w:rsidR="00B64C57">
        <w:rPr>
          <w:i/>
          <w:color w:val="231F20"/>
        </w:rPr>
        <w:t xml:space="preserve"> </w:t>
      </w:r>
      <w:r>
        <w:rPr>
          <w:i/>
          <w:color w:val="231F20"/>
        </w:rPr>
        <w:t xml:space="preserve">Lee, </w:t>
      </w:r>
      <w:r>
        <w:rPr>
          <w:color w:val="231F20"/>
        </w:rPr>
        <w:t>290 Va.</w:t>
      </w:r>
      <w:r w:rsidR="00B64C57">
        <w:rPr>
          <w:color w:val="231F20"/>
        </w:rPr>
        <w:t xml:space="preserve"> </w:t>
      </w:r>
      <w:r>
        <w:rPr>
          <w:color w:val="231F20"/>
        </w:rPr>
        <w:t>129, 772 S.E.2d</w:t>
      </w:r>
      <w:r w:rsidR="00B64C57">
        <w:rPr>
          <w:color w:val="231F20"/>
        </w:rPr>
        <w:t xml:space="preserve"> </w:t>
      </w:r>
      <w:r>
        <w:rPr>
          <w:color w:val="231F20"/>
        </w:rPr>
        <w:t>894.</w:t>
      </w:r>
    </w:p>
    <w:p w14:paraId="3FEDA340" w14:textId="77777777" w:rsidR="009910CD" w:rsidRPr="00901D29" w:rsidRDefault="00FC2690" w:rsidP="00901D29">
      <w:pPr>
        <w:pStyle w:val="BodyText"/>
        <w:spacing w:before="120" w:after="120"/>
        <w:ind w:left="1440"/>
        <w:jc w:val="both"/>
        <w:rPr>
          <w:color w:val="231F20"/>
        </w:rPr>
      </w:pPr>
      <w:r>
        <w:rPr>
          <w:color w:val="231F20"/>
        </w:rPr>
        <w:t xml:space="preserve">Trial court erred in giving an instruction about the disfavored status of punitive damage claims based upon published </w:t>
      </w:r>
      <w:r w:rsidRPr="00901D29">
        <w:rPr>
          <w:color w:val="231F20"/>
        </w:rPr>
        <w:t xml:space="preserve">Virginia </w:t>
      </w:r>
      <w:r>
        <w:rPr>
          <w:color w:val="231F20"/>
        </w:rPr>
        <w:t>case</w:t>
      </w:r>
      <w:r w:rsidR="00B64C57">
        <w:rPr>
          <w:color w:val="231F20"/>
        </w:rPr>
        <w:t xml:space="preserve"> </w:t>
      </w:r>
      <w:r w:rsidRPr="00901D29">
        <w:rPr>
          <w:color w:val="231F20"/>
        </w:rPr>
        <w:t>law.</w:t>
      </w:r>
    </w:p>
    <w:p w14:paraId="1A9C9CED" w14:textId="77777777" w:rsidR="009910CD" w:rsidRDefault="00FC2690" w:rsidP="00B92944">
      <w:pPr>
        <w:spacing w:before="64"/>
        <w:ind w:left="720"/>
      </w:pPr>
      <w:r>
        <w:rPr>
          <w:color w:val="231F20"/>
        </w:rPr>
        <w:lastRenderedPageBreak/>
        <w:t>2010—</w:t>
      </w:r>
      <w:r>
        <w:rPr>
          <w:i/>
          <w:color w:val="231F20"/>
        </w:rPr>
        <w:t>Syed v.</w:t>
      </w:r>
      <w:r w:rsidR="00B64C57">
        <w:rPr>
          <w:i/>
          <w:color w:val="231F20"/>
        </w:rPr>
        <w:t xml:space="preserve"> </w:t>
      </w:r>
      <w:r>
        <w:rPr>
          <w:i/>
          <w:color w:val="231F20"/>
        </w:rPr>
        <w:t>ZH Technologies</w:t>
      </w:r>
      <w:r>
        <w:rPr>
          <w:color w:val="231F20"/>
        </w:rPr>
        <w:t>, 280 Va.</w:t>
      </w:r>
      <w:r w:rsidR="00B64C57">
        <w:rPr>
          <w:color w:val="231F20"/>
        </w:rPr>
        <w:t xml:space="preserve"> </w:t>
      </w:r>
      <w:r>
        <w:rPr>
          <w:color w:val="231F20"/>
        </w:rPr>
        <w:t>58, 694 S.E.2d</w:t>
      </w:r>
      <w:r w:rsidR="00B64C57">
        <w:rPr>
          <w:color w:val="231F20"/>
        </w:rPr>
        <w:t xml:space="preserve"> </w:t>
      </w:r>
      <w:r>
        <w:rPr>
          <w:color w:val="231F20"/>
        </w:rPr>
        <w:t>625.</w:t>
      </w:r>
    </w:p>
    <w:p w14:paraId="053CFF4D" w14:textId="77777777" w:rsidR="009910CD" w:rsidRDefault="00FC2690" w:rsidP="00901D29">
      <w:pPr>
        <w:pStyle w:val="BodyText"/>
        <w:spacing w:before="120" w:after="120"/>
        <w:ind w:left="1440"/>
        <w:jc w:val="both"/>
        <w:rPr>
          <w:color w:val="231F20"/>
        </w:rPr>
      </w:pPr>
      <w:r>
        <w:rPr>
          <w:color w:val="231F20"/>
        </w:rPr>
        <w:t>An award of compensatory damages is a necessary predicate for punitive damages except in actions for</w:t>
      </w:r>
      <w:r w:rsidR="00B64C57">
        <w:rPr>
          <w:color w:val="231F20"/>
        </w:rPr>
        <w:t xml:space="preserve"> </w:t>
      </w:r>
      <w:r>
        <w:rPr>
          <w:color w:val="231F20"/>
        </w:rPr>
        <w:t>defamation.</w:t>
      </w:r>
    </w:p>
    <w:p w14:paraId="3C9D707F" w14:textId="77777777" w:rsidR="009910CD" w:rsidRDefault="00FC2690" w:rsidP="00AF062B">
      <w:pPr>
        <w:pStyle w:val="Heading4"/>
        <w:numPr>
          <w:ilvl w:val="0"/>
          <w:numId w:val="2"/>
        </w:numPr>
        <w:ind w:left="1170" w:hanging="450"/>
      </w:pPr>
      <w:r>
        <w:rPr>
          <w:color w:val="231F20"/>
        </w:rPr>
        <w:t>Measure of</w:t>
      </w:r>
      <w:r>
        <w:rPr>
          <w:color w:val="231F20"/>
          <w:spacing w:val="28"/>
        </w:rPr>
        <w:t xml:space="preserve"> </w:t>
      </w:r>
      <w:r>
        <w:rPr>
          <w:color w:val="231F20"/>
        </w:rPr>
        <w:t>Damage</w:t>
      </w:r>
    </w:p>
    <w:p w14:paraId="7EF18562" w14:textId="77777777" w:rsidR="009910CD" w:rsidRDefault="00FC2690" w:rsidP="00B92944">
      <w:pPr>
        <w:spacing w:before="135"/>
        <w:ind w:left="720"/>
      </w:pPr>
      <w:r>
        <w:rPr>
          <w:color w:val="231F20"/>
        </w:rPr>
        <w:t>2014—</w:t>
      </w:r>
      <w:r>
        <w:rPr>
          <w:i/>
          <w:color w:val="231F20"/>
        </w:rPr>
        <w:t>Coalson v.</w:t>
      </w:r>
      <w:r w:rsidR="00B64C57">
        <w:rPr>
          <w:i/>
          <w:color w:val="231F20"/>
        </w:rPr>
        <w:t xml:space="preserve"> </w:t>
      </w:r>
      <w:r>
        <w:rPr>
          <w:i/>
          <w:color w:val="231F20"/>
        </w:rPr>
        <w:t>Canchola</w:t>
      </w:r>
      <w:r>
        <w:rPr>
          <w:color w:val="231F20"/>
        </w:rPr>
        <w:t>, 287 Va.</w:t>
      </w:r>
      <w:r w:rsidR="00B64C57">
        <w:rPr>
          <w:color w:val="231F20"/>
        </w:rPr>
        <w:t xml:space="preserve"> </w:t>
      </w:r>
      <w:r>
        <w:rPr>
          <w:color w:val="231F20"/>
        </w:rPr>
        <w:t>242, 754 S.E.2d</w:t>
      </w:r>
      <w:r w:rsidR="00B64C57">
        <w:rPr>
          <w:color w:val="231F20"/>
        </w:rPr>
        <w:t xml:space="preserve"> </w:t>
      </w:r>
      <w:r>
        <w:rPr>
          <w:color w:val="231F20"/>
        </w:rPr>
        <w:t>525.</w:t>
      </w:r>
    </w:p>
    <w:p w14:paraId="12970B39" w14:textId="77777777" w:rsidR="009910CD" w:rsidRPr="00EC46B1" w:rsidRDefault="00FC2690" w:rsidP="00EC46B1">
      <w:pPr>
        <w:pStyle w:val="BodyText"/>
        <w:spacing w:before="120" w:after="120"/>
        <w:ind w:left="1440"/>
        <w:jc w:val="both"/>
        <w:rPr>
          <w:color w:val="231F20"/>
        </w:rPr>
      </w:pPr>
      <w:r>
        <w:rPr>
          <w:color w:val="231F20"/>
        </w:rPr>
        <w:t>Compensatory</w:t>
      </w:r>
      <w:r w:rsidR="00B64C57">
        <w:rPr>
          <w:color w:val="231F20"/>
        </w:rPr>
        <w:t xml:space="preserve"> </w:t>
      </w:r>
      <w:r>
        <w:rPr>
          <w:color w:val="231F20"/>
        </w:rPr>
        <w:t>award</w:t>
      </w:r>
      <w:r w:rsidR="00B64C57">
        <w:rPr>
          <w:color w:val="231F20"/>
        </w:rPr>
        <w:t xml:space="preserve"> </w:t>
      </w:r>
      <w:r>
        <w:rPr>
          <w:color w:val="231F20"/>
        </w:rPr>
        <w:t>of</w:t>
      </w:r>
      <w:r w:rsidR="00B64C57">
        <w:rPr>
          <w:color w:val="231F20"/>
        </w:rPr>
        <w:t xml:space="preserve"> </w:t>
      </w:r>
      <w:r>
        <w:rPr>
          <w:color w:val="231F20"/>
        </w:rPr>
        <w:t>$5,600.00</w:t>
      </w:r>
      <w:r w:rsidR="00B64C57">
        <w:rPr>
          <w:color w:val="231F20"/>
        </w:rPr>
        <w:t xml:space="preserve"> </w:t>
      </w:r>
      <w:r>
        <w:rPr>
          <w:color w:val="231F20"/>
        </w:rPr>
        <w:t>and</w:t>
      </w:r>
      <w:r w:rsidR="00B64C57">
        <w:rPr>
          <w:color w:val="231F20"/>
        </w:rPr>
        <w:t xml:space="preserve"> </w:t>
      </w:r>
      <w:r>
        <w:rPr>
          <w:color w:val="231F20"/>
        </w:rPr>
        <w:t>punitive</w:t>
      </w:r>
      <w:r w:rsidR="00B64C57">
        <w:rPr>
          <w:color w:val="231F20"/>
        </w:rPr>
        <w:t xml:space="preserve"> </w:t>
      </w:r>
      <w:r>
        <w:rPr>
          <w:color w:val="231F20"/>
        </w:rPr>
        <w:t>award</w:t>
      </w:r>
      <w:r w:rsidR="00B64C57">
        <w:rPr>
          <w:color w:val="231F20"/>
        </w:rPr>
        <w:t xml:space="preserve"> </w:t>
      </w:r>
      <w:r>
        <w:rPr>
          <w:color w:val="231F20"/>
        </w:rPr>
        <w:t>of</w:t>
      </w:r>
      <w:r w:rsidR="00EC46B1">
        <w:rPr>
          <w:color w:val="231F20"/>
        </w:rPr>
        <w:t xml:space="preserve"> </w:t>
      </w:r>
      <w:r>
        <w:rPr>
          <w:color w:val="231F20"/>
        </w:rPr>
        <w:t>$100,000.00 is not excessive.</w:t>
      </w:r>
    </w:p>
    <w:p w14:paraId="47963EAE" w14:textId="77777777" w:rsidR="009910CD" w:rsidRDefault="00FC2690" w:rsidP="00EC46B1">
      <w:pPr>
        <w:spacing w:before="140" w:line="250" w:lineRule="exact"/>
        <w:ind w:left="720"/>
      </w:pPr>
      <w:r>
        <w:rPr>
          <w:color w:val="231F20"/>
        </w:rPr>
        <w:t>2011—</w:t>
      </w:r>
      <w:r>
        <w:rPr>
          <w:i/>
          <w:color w:val="231F20"/>
        </w:rPr>
        <w:t>Condominium Services, Inc. v. First Owners’ Ass’n.</w:t>
      </w:r>
      <w:r>
        <w:rPr>
          <w:color w:val="231F20"/>
        </w:rPr>
        <w:t>, 281 Va. 561, 709 S.E.2d 163.</w:t>
      </w:r>
    </w:p>
    <w:p w14:paraId="69EF8328" w14:textId="1EBF4C0E" w:rsidR="009910CD" w:rsidRDefault="00FC2690" w:rsidP="00EC46B1">
      <w:pPr>
        <w:pStyle w:val="BodyText"/>
        <w:spacing w:before="120" w:after="120"/>
        <w:ind w:left="1440"/>
        <w:jc w:val="both"/>
        <w:rPr>
          <w:color w:val="231F20"/>
        </w:rPr>
      </w:pPr>
      <w:r>
        <w:rPr>
          <w:color w:val="231F20"/>
        </w:rPr>
        <w:t>Punitive award in this conversion case was upheld. Total award was</w:t>
      </w:r>
      <w:r w:rsidR="00EC46B1">
        <w:rPr>
          <w:color w:val="231F20"/>
        </w:rPr>
        <w:t xml:space="preserve"> </w:t>
      </w:r>
      <w:r>
        <w:rPr>
          <w:color w:val="231F20"/>
        </w:rPr>
        <w:t>$275,000, which was two and a half times the compensatory award. Although defendant may have been e</w:t>
      </w:r>
      <w:r w:rsidR="00AB18B1">
        <w:rPr>
          <w:color w:val="231F20"/>
        </w:rPr>
        <w:t>xperiencing financial difficul</w:t>
      </w:r>
      <w:r>
        <w:rPr>
          <w:color w:val="231F20"/>
        </w:rPr>
        <w:t>ties, that evidence was not presented at trial and therefore cannot be considered now as to excessiveness of punitive</w:t>
      </w:r>
      <w:r w:rsidR="00B64C57">
        <w:rPr>
          <w:color w:val="231F20"/>
        </w:rPr>
        <w:t xml:space="preserve"> </w:t>
      </w:r>
      <w:r>
        <w:rPr>
          <w:color w:val="231F20"/>
        </w:rPr>
        <w:t>award.</w:t>
      </w:r>
    </w:p>
    <w:p w14:paraId="24878F97" w14:textId="77777777" w:rsidR="009910CD" w:rsidRDefault="00FC2690" w:rsidP="00AF062B">
      <w:pPr>
        <w:pStyle w:val="Heading4"/>
        <w:numPr>
          <w:ilvl w:val="0"/>
          <w:numId w:val="2"/>
        </w:numPr>
        <w:ind w:left="1170" w:hanging="450"/>
      </w:pPr>
      <w:r>
        <w:rPr>
          <w:color w:val="231F20"/>
        </w:rPr>
        <w:t>Responsibility of Employer</w:t>
      </w:r>
      <w:r>
        <w:rPr>
          <w:color w:val="231F20"/>
          <w:spacing w:val="44"/>
        </w:rPr>
        <w:t xml:space="preserve"> </w:t>
      </w:r>
      <w:r>
        <w:rPr>
          <w:color w:val="231F20"/>
        </w:rPr>
        <w:t>for</w:t>
      </w:r>
    </w:p>
    <w:p w14:paraId="7F9C6992" w14:textId="77777777" w:rsidR="009910CD" w:rsidRDefault="00FC2690" w:rsidP="00B92944">
      <w:pPr>
        <w:spacing w:before="136"/>
        <w:ind w:left="720"/>
      </w:pPr>
      <w:r>
        <w:rPr>
          <w:color w:val="231F20"/>
        </w:rPr>
        <w:t>2015—</w:t>
      </w:r>
      <w:r>
        <w:rPr>
          <w:i/>
          <w:color w:val="231F20"/>
        </w:rPr>
        <w:t>Egan v.</w:t>
      </w:r>
      <w:r w:rsidR="00B64C57">
        <w:rPr>
          <w:i/>
          <w:color w:val="231F20"/>
        </w:rPr>
        <w:t xml:space="preserve"> </w:t>
      </w:r>
      <w:r>
        <w:rPr>
          <w:i/>
          <w:color w:val="231F20"/>
        </w:rPr>
        <w:t>Butler</w:t>
      </w:r>
      <w:r>
        <w:rPr>
          <w:color w:val="231F20"/>
        </w:rPr>
        <w:t>, 290 Va.</w:t>
      </w:r>
      <w:r w:rsidR="00B64C57">
        <w:rPr>
          <w:color w:val="231F20"/>
        </w:rPr>
        <w:t xml:space="preserve"> </w:t>
      </w:r>
      <w:r>
        <w:rPr>
          <w:color w:val="231F20"/>
        </w:rPr>
        <w:t>62, 772 S.E.2d</w:t>
      </w:r>
      <w:r w:rsidR="00B64C57">
        <w:rPr>
          <w:color w:val="231F20"/>
        </w:rPr>
        <w:t xml:space="preserve"> </w:t>
      </w:r>
      <w:r>
        <w:rPr>
          <w:color w:val="231F20"/>
        </w:rPr>
        <w:t>765.</w:t>
      </w:r>
    </w:p>
    <w:p w14:paraId="2E8AFE73" w14:textId="77777777" w:rsidR="009910CD" w:rsidRPr="00EC46B1" w:rsidRDefault="00FC2690" w:rsidP="00EC46B1">
      <w:pPr>
        <w:pStyle w:val="BodyText"/>
        <w:spacing w:before="120" w:after="120"/>
        <w:ind w:left="1440"/>
        <w:jc w:val="both"/>
        <w:rPr>
          <w:color w:val="231F20"/>
        </w:rPr>
      </w:pPr>
      <w:r w:rsidRPr="00EC46B1">
        <w:rPr>
          <w:color w:val="231F20"/>
        </w:rPr>
        <w:t xml:space="preserve">To </w:t>
      </w:r>
      <w:r>
        <w:rPr>
          <w:color w:val="231F20"/>
        </w:rPr>
        <w:t>subject corporate employer to punitive damage liability the employee</w:t>
      </w:r>
      <w:r w:rsidRPr="00EC46B1">
        <w:rPr>
          <w:color w:val="231F20"/>
        </w:rPr>
        <w:t xml:space="preserve"> </w:t>
      </w:r>
      <w:r>
        <w:rPr>
          <w:color w:val="231F20"/>
        </w:rPr>
        <w:t>who</w:t>
      </w:r>
      <w:r w:rsidRPr="00EC46B1">
        <w:rPr>
          <w:color w:val="231F20"/>
        </w:rPr>
        <w:t xml:space="preserve"> </w:t>
      </w:r>
      <w:r>
        <w:rPr>
          <w:color w:val="231F20"/>
        </w:rPr>
        <w:t>committed</w:t>
      </w:r>
      <w:r w:rsidRPr="00EC46B1">
        <w:rPr>
          <w:color w:val="231F20"/>
        </w:rPr>
        <w:t xml:space="preserve"> </w:t>
      </w:r>
      <w:r>
        <w:rPr>
          <w:color w:val="231F20"/>
        </w:rPr>
        <w:t>the</w:t>
      </w:r>
      <w:r w:rsidRPr="00EC46B1">
        <w:rPr>
          <w:color w:val="231F20"/>
        </w:rPr>
        <w:t xml:space="preserve"> </w:t>
      </w:r>
      <w:r>
        <w:rPr>
          <w:color w:val="231F20"/>
        </w:rPr>
        <w:t>wrongful</w:t>
      </w:r>
      <w:r w:rsidRPr="00EC46B1">
        <w:rPr>
          <w:color w:val="231F20"/>
        </w:rPr>
        <w:t xml:space="preserve"> </w:t>
      </w:r>
      <w:r>
        <w:rPr>
          <w:color w:val="231F20"/>
        </w:rPr>
        <w:t>acts</w:t>
      </w:r>
      <w:r w:rsidRPr="00EC46B1">
        <w:rPr>
          <w:color w:val="231F20"/>
        </w:rPr>
        <w:t xml:space="preserve"> </w:t>
      </w:r>
      <w:r>
        <w:rPr>
          <w:color w:val="231F20"/>
        </w:rPr>
        <w:t>must</w:t>
      </w:r>
      <w:r w:rsidRPr="00EC46B1">
        <w:rPr>
          <w:color w:val="231F20"/>
        </w:rPr>
        <w:t xml:space="preserve"> </w:t>
      </w:r>
      <w:r>
        <w:rPr>
          <w:color w:val="231F20"/>
        </w:rPr>
        <w:t>be</w:t>
      </w:r>
      <w:r w:rsidRPr="00EC46B1">
        <w:rPr>
          <w:color w:val="231F20"/>
        </w:rPr>
        <w:t xml:space="preserve"> </w:t>
      </w:r>
      <w:r>
        <w:rPr>
          <w:color w:val="231F20"/>
        </w:rPr>
        <w:t>in</w:t>
      </w:r>
      <w:r w:rsidRPr="00EC46B1">
        <w:rPr>
          <w:color w:val="231F20"/>
        </w:rPr>
        <w:t xml:space="preserve"> </w:t>
      </w:r>
      <w:r>
        <w:rPr>
          <w:color w:val="231F20"/>
        </w:rPr>
        <w:t>a</w:t>
      </w:r>
      <w:r w:rsidRPr="00EC46B1">
        <w:rPr>
          <w:color w:val="231F20"/>
        </w:rPr>
        <w:t xml:space="preserve"> </w:t>
      </w:r>
      <w:r>
        <w:rPr>
          <w:color w:val="231F20"/>
        </w:rPr>
        <w:t>sufficiently high position in the corporate structure. The question of how high is dependent upon the power, role, and independence of the employee relative to the nature and structure of the</w:t>
      </w:r>
      <w:r w:rsidR="00B64C57">
        <w:rPr>
          <w:color w:val="231F20"/>
        </w:rPr>
        <w:t xml:space="preserve"> </w:t>
      </w:r>
      <w:r>
        <w:rPr>
          <w:color w:val="231F20"/>
        </w:rPr>
        <w:t>employer.</w:t>
      </w:r>
    </w:p>
    <w:p w14:paraId="255057B9" w14:textId="77777777" w:rsidR="009910CD" w:rsidRDefault="009910CD">
      <w:pPr>
        <w:pStyle w:val="BodyText"/>
        <w:spacing w:before="4"/>
        <w:rPr>
          <w:sz w:val="26"/>
        </w:rPr>
      </w:pPr>
    </w:p>
    <w:p w14:paraId="3F159D80" w14:textId="77777777" w:rsidR="00DE5140" w:rsidRDefault="00DE5140">
      <w:pPr>
        <w:rPr>
          <w:b/>
          <w:bCs/>
          <w:color w:val="231F20"/>
          <w:sz w:val="40"/>
          <w:szCs w:val="40"/>
        </w:rPr>
      </w:pPr>
      <w:r>
        <w:rPr>
          <w:color w:val="231F20"/>
        </w:rPr>
        <w:br w:type="page"/>
      </w:r>
    </w:p>
    <w:p w14:paraId="00249F9E" w14:textId="069C8E8E" w:rsidR="009910CD" w:rsidRDefault="00FC2690">
      <w:pPr>
        <w:pStyle w:val="Heading1"/>
        <w:spacing w:line="328" w:lineRule="auto"/>
        <w:ind w:left="2972" w:right="2411"/>
        <w:jc w:val="center"/>
      </w:pPr>
      <w:r>
        <w:rPr>
          <w:color w:val="231F20"/>
        </w:rPr>
        <w:lastRenderedPageBreak/>
        <w:t xml:space="preserve">Chapter 20 INSURANCE </w:t>
      </w:r>
      <w:r>
        <w:rPr>
          <w:color w:val="231F20"/>
          <w:spacing w:val="-15"/>
        </w:rPr>
        <w:t>LAW</w:t>
      </w:r>
    </w:p>
    <w:p w14:paraId="180C2B25"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20.01</w:t>
      </w:r>
      <w:r>
        <w:rPr>
          <w:color w:val="231F20"/>
        </w:rPr>
        <w:tab/>
        <w:t>Accidental</w:t>
      </w:r>
      <w:r w:rsidRPr="00334C7C">
        <w:rPr>
          <w:color w:val="231F20"/>
        </w:rPr>
        <w:t xml:space="preserve"> </w:t>
      </w:r>
      <w:r>
        <w:rPr>
          <w:color w:val="231F20"/>
        </w:rPr>
        <w:t>Injury</w:t>
      </w:r>
    </w:p>
    <w:p w14:paraId="25DFED81" w14:textId="77777777" w:rsidR="009910CD" w:rsidRDefault="00FC2690" w:rsidP="00B92944">
      <w:pPr>
        <w:spacing w:before="142" w:line="250" w:lineRule="exact"/>
        <w:ind w:left="720" w:right="821"/>
      </w:pPr>
      <w:r>
        <w:rPr>
          <w:color w:val="231F20"/>
        </w:rPr>
        <w:t>2012—</w:t>
      </w:r>
      <w:r>
        <w:rPr>
          <w:i/>
          <w:color w:val="231F20"/>
        </w:rPr>
        <w:t>AES Corporation v. Steadfast Insurance Company</w:t>
      </w:r>
      <w:r>
        <w:rPr>
          <w:color w:val="231F20"/>
        </w:rPr>
        <w:t>, 283 Va. 609, 725 S.E.2d 532.</w:t>
      </w:r>
    </w:p>
    <w:p w14:paraId="1AA74583" w14:textId="77777777" w:rsidR="009910CD" w:rsidRPr="0013263C" w:rsidRDefault="00FC2690" w:rsidP="0013263C">
      <w:pPr>
        <w:pStyle w:val="BodyText"/>
        <w:spacing w:before="120" w:after="120"/>
        <w:ind w:left="1440"/>
        <w:jc w:val="both"/>
        <w:rPr>
          <w:color w:val="231F20"/>
        </w:rPr>
      </w:pPr>
      <w:r>
        <w:rPr>
          <w:color w:val="231F20"/>
        </w:rPr>
        <w:t>Intentional release of large amount of greenhouse gasses in the course of energy production and distribution business did not allege an occurrence to invoke coverage as to this general liability</w:t>
      </w:r>
      <w:r w:rsidR="00B64C57">
        <w:rPr>
          <w:color w:val="231F20"/>
        </w:rPr>
        <w:t xml:space="preserve"> </w:t>
      </w:r>
      <w:r w:rsidRPr="0013263C">
        <w:rPr>
          <w:color w:val="231F20"/>
        </w:rPr>
        <w:t>policy.</w:t>
      </w:r>
    </w:p>
    <w:p w14:paraId="1E2281DE" w14:textId="77777777" w:rsidR="009910CD" w:rsidRDefault="00FC2690" w:rsidP="00B92944">
      <w:pPr>
        <w:spacing w:before="113"/>
        <w:ind w:left="720"/>
      </w:pPr>
      <w:r>
        <w:rPr>
          <w:color w:val="231F20"/>
        </w:rPr>
        <w:t>2011—</w:t>
      </w:r>
      <w:r>
        <w:rPr>
          <w:i/>
          <w:color w:val="231F20"/>
        </w:rPr>
        <w:t>AES Corp. v.</w:t>
      </w:r>
      <w:r w:rsidR="00B64C57">
        <w:rPr>
          <w:i/>
          <w:color w:val="231F20"/>
        </w:rPr>
        <w:t xml:space="preserve"> </w:t>
      </w:r>
      <w:r>
        <w:rPr>
          <w:i/>
          <w:color w:val="231F20"/>
        </w:rPr>
        <w:t>Steadfast Ins. Co.</w:t>
      </w:r>
      <w:r>
        <w:rPr>
          <w:color w:val="231F20"/>
        </w:rPr>
        <w:t>, 282 Va.</w:t>
      </w:r>
      <w:r w:rsidR="00B64C57">
        <w:rPr>
          <w:color w:val="231F20"/>
        </w:rPr>
        <w:t xml:space="preserve"> </w:t>
      </w:r>
      <w:r>
        <w:rPr>
          <w:color w:val="231F20"/>
        </w:rPr>
        <w:t>252, 715 S.E.2d</w:t>
      </w:r>
      <w:r w:rsidR="00B64C57">
        <w:rPr>
          <w:color w:val="231F20"/>
        </w:rPr>
        <w:t xml:space="preserve"> </w:t>
      </w:r>
      <w:r>
        <w:rPr>
          <w:color w:val="231F20"/>
        </w:rPr>
        <w:t>28.</w:t>
      </w:r>
    </w:p>
    <w:p w14:paraId="2CDCDBDF" w14:textId="77777777" w:rsidR="009910CD" w:rsidRDefault="00FC2690" w:rsidP="0013263C">
      <w:pPr>
        <w:pStyle w:val="BodyText"/>
        <w:spacing w:before="120" w:after="120"/>
        <w:ind w:left="1440"/>
        <w:jc w:val="both"/>
        <w:rPr>
          <w:color w:val="231F20"/>
        </w:rPr>
      </w:pPr>
      <w:r>
        <w:rPr>
          <w:color w:val="231F20"/>
        </w:rPr>
        <w:t>In this declaratory judgment action, insured alleged it was covered under liability policy for claim asserting damages to an Alaskan village caused by global warming attributable to the insured’s intentional release of large amounts of greenhouse gases. This did not constitute an occurrence.</w:t>
      </w:r>
    </w:p>
    <w:p w14:paraId="2FEBB2A9"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20.06</w:t>
      </w:r>
      <w:r>
        <w:rPr>
          <w:color w:val="231F20"/>
        </w:rPr>
        <w:tab/>
        <w:t>Coverage</w:t>
      </w:r>
    </w:p>
    <w:p w14:paraId="29AB9008" w14:textId="1C96A940" w:rsidR="000C0785" w:rsidRPr="00AF062B" w:rsidRDefault="000C0785" w:rsidP="008F298C">
      <w:pPr>
        <w:tabs>
          <w:tab w:val="left" w:pos="2121"/>
        </w:tabs>
        <w:spacing w:before="95"/>
        <w:ind w:left="1440"/>
        <w:rPr>
          <w:bCs/>
          <w:color w:val="231F20"/>
        </w:rPr>
      </w:pPr>
      <w:r>
        <w:rPr>
          <w:bCs/>
          <w:i/>
          <w:iCs/>
          <w:color w:val="231F20"/>
        </w:rPr>
        <w:t>See</w:t>
      </w:r>
      <w:r>
        <w:rPr>
          <w:bCs/>
          <w:color w:val="231F20"/>
        </w:rPr>
        <w:t xml:space="preserve"> </w:t>
      </w:r>
      <w:r w:rsidR="002F24E0">
        <w:rPr>
          <w:bCs/>
          <w:color w:val="231F20"/>
        </w:rPr>
        <w:t>Va.</w:t>
      </w:r>
      <w:r>
        <w:rPr>
          <w:bCs/>
          <w:color w:val="231F20"/>
        </w:rPr>
        <w:t xml:space="preserve"> Code § 8.01-417.01 as to disclosure of policy limits.</w:t>
      </w:r>
    </w:p>
    <w:p w14:paraId="0031BD2A" w14:textId="09C36FFA" w:rsidR="009910CD" w:rsidRDefault="00FC2690" w:rsidP="00AF062B">
      <w:pPr>
        <w:tabs>
          <w:tab w:val="left" w:pos="2121"/>
        </w:tabs>
        <w:spacing w:before="95"/>
        <w:ind w:left="1170" w:hanging="450"/>
        <w:rPr>
          <w:b/>
        </w:rPr>
      </w:pPr>
      <w:r>
        <w:rPr>
          <w:b/>
          <w:color w:val="231F20"/>
        </w:rPr>
        <w:t>[2]</w:t>
      </w:r>
      <w:r>
        <w:rPr>
          <w:b/>
          <w:color w:val="231F20"/>
        </w:rPr>
        <w:tab/>
        <w:t>Auto</w:t>
      </w:r>
    </w:p>
    <w:p w14:paraId="378D87B4" w14:textId="2B1FB3FD" w:rsidR="00CF6DF3" w:rsidRDefault="00CF6DF3" w:rsidP="00CF6DF3">
      <w:pPr>
        <w:spacing w:before="126"/>
        <w:ind w:left="720"/>
        <w:rPr>
          <w:color w:val="231F20"/>
        </w:rPr>
      </w:pPr>
      <w:r>
        <w:rPr>
          <w:color w:val="231F20"/>
        </w:rPr>
        <w:t>2023—</w:t>
      </w:r>
      <w:r>
        <w:rPr>
          <w:i/>
          <w:iCs/>
          <w:color w:val="231F20"/>
        </w:rPr>
        <w:t>USAA v. Estep</w:t>
      </w:r>
      <w:r>
        <w:rPr>
          <w:color w:val="231F20"/>
        </w:rPr>
        <w:t>, 77 Va. App. 16, 884 S.E.2d 232.</w:t>
      </w:r>
    </w:p>
    <w:p w14:paraId="3A2BA609" w14:textId="3B70ACBA" w:rsidR="00CF6DF3" w:rsidRDefault="00CF6DF3" w:rsidP="00CF6DF3">
      <w:pPr>
        <w:spacing w:before="135"/>
        <w:ind w:left="1440"/>
        <w:rPr>
          <w:color w:val="231F20"/>
        </w:rPr>
      </w:pPr>
      <w:r>
        <w:rPr>
          <w:color w:val="231F20"/>
        </w:rPr>
        <w:t xml:space="preserve">Plaintiff was injured </w:t>
      </w:r>
      <w:r w:rsidR="00E44FE8">
        <w:rPr>
          <w:color w:val="231F20"/>
        </w:rPr>
        <w:t xml:space="preserve">by hotel luggage cart striking him and knocking him to the ground as he loaded luggage into the trunk of his car.  The plaintiff was upon the car and was occupying it as those terms are used in the medical payments endorsement of the policy. </w:t>
      </w:r>
    </w:p>
    <w:p w14:paraId="0F32977A" w14:textId="78CF0CD1" w:rsidR="009910CD" w:rsidRDefault="00FC2690" w:rsidP="00B92944">
      <w:pPr>
        <w:spacing w:before="135"/>
        <w:ind w:left="720"/>
      </w:pPr>
      <w:r>
        <w:rPr>
          <w:color w:val="231F20"/>
        </w:rPr>
        <w:t>2015—</w:t>
      </w:r>
      <w:r>
        <w:rPr>
          <w:i/>
          <w:color w:val="231F20"/>
        </w:rPr>
        <w:t>Bratton v.</w:t>
      </w:r>
      <w:r w:rsidR="00B64C57">
        <w:rPr>
          <w:i/>
          <w:color w:val="231F20"/>
        </w:rPr>
        <w:t xml:space="preserve"> </w:t>
      </w:r>
      <w:r>
        <w:rPr>
          <w:i/>
          <w:color w:val="231F20"/>
        </w:rPr>
        <w:t xml:space="preserve">Selective Insurance Co., </w:t>
      </w:r>
      <w:r>
        <w:rPr>
          <w:color w:val="231F20"/>
        </w:rPr>
        <w:t>290 Va.</w:t>
      </w:r>
      <w:r w:rsidR="00B64C57">
        <w:rPr>
          <w:color w:val="231F20"/>
        </w:rPr>
        <w:t xml:space="preserve"> </w:t>
      </w:r>
      <w:r>
        <w:rPr>
          <w:color w:val="231F20"/>
        </w:rPr>
        <w:t>314, 776 S.E.2d</w:t>
      </w:r>
      <w:r w:rsidR="00B64C57">
        <w:rPr>
          <w:color w:val="231F20"/>
        </w:rPr>
        <w:t xml:space="preserve"> </w:t>
      </w:r>
      <w:r>
        <w:rPr>
          <w:color w:val="231F20"/>
        </w:rPr>
        <w:t>775.</w:t>
      </w:r>
    </w:p>
    <w:p w14:paraId="22E9E509" w14:textId="77777777" w:rsidR="009910CD" w:rsidRPr="0013263C" w:rsidRDefault="00FC2690" w:rsidP="0013263C">
      <w:pPr>
        <w:pStyle w:val="BodyText"/>
        <w:spacing w:before="120" w:after="120"/>
        <w:ind w:left="1440"/>
        <w:jc w:val="both"/>
        <w:rPr>
          <w:color w:val="231F20"/>
        </w:rPr>
      </w:pPr>
      <w:r>
        <w:rPr>
          <w:color w:val="231F20"/>
        </w:rPr>
        <w:t>Employee of a paving company who was driving a dump truck to a highway site at night got out of his truck and moved nine (9) feet to the rear of the truck and was then struck and killed by two (2)</w:t>
      </w:r>
      <w:r w:rsidRPr="0013263C">
        <w:rPr>
          <w:color w:val="231F20"/>
        </w:rPr>
        <w:t xml:space="preserve"> </w:t>
      </w:r>
      <w:r>
        <w:rPr>
          <w:color w:val="231F20"/>
        </w:rPr>
        <w:t>drunk drivers crashing into a highway work site. The employee was deemed to be occupying both the dump truck and also the nearby company pickup truck as a safety vehicle and therefore was entitled to coverage under</w:t>
      </w:r>
      <w:r w:rsidRPr="0013263C">
        <w:rPr>
          <w:color w:val="231F20"/>
        </w:rPr>
        <w:t xml:space="preserve"> </w:t>
      </w:r>
      <w:r>
        <w:rPr>
          <w:color w:val="231F20"/>
        </w:rPr>
        <w:t>both.</w:t>
      </w:r>
    </w:p>
    <w:p w14:paraId="02045795" w14:textId="77777777" w:rsidR="009910CD" w:rsidRDefault="00FC2690" w:rsidP="00B92944">
      <w:pPr>
        <w:spacing w:before="129" w:line="240" w:lineRule="exact"/>
        <w:ind w:left="720" w:right="821"/>
      </w:pPr>
      <w:r>
        <w:rPr>
          <w:color w:val="231F20"/>
        </w:rPr>
        <w:t>2015—</w:t>
      </w:r>
      <w:r>
        <w:rPr>
          <w:i/>
          <w:color w:val="231F20"/>
        </w:rPr>
        <w:t xml:space="preserve">Bartolomucci v. Federal Insurance Co., </w:t>
      </w:r>
      <w:r>
        <w:rPr>
          <w:color w:val="231F20"/>
        </w:rPr>
        <w:t>289 Va. 361, 770 S.E.2d 451.</w:t>
      </w:r>
    </w:p>
    <w:p w14:paraId="7BA0957D" w14:textId="77777777" w:rsidR="009910CD" w:rsidRPr="0013263C" w:rsidRDefault="00FC2690" w:rsidP="0013263C">
      <w:pPr>
        <w:pStyle w:val="BodyText"/>
        <w:spacing w:before="120" w:after="120"/>
        <w:ind w:left="1440"/>
        <w:jc w:val="both"/>
        <w:rPr>
          <w:color w:val="231F20"/>
        </w:rPr>
      </w:pPr>
      <w:r>
        <w:rPr>
          <w:color w:val="231F20"/>
        </w:rPr>
        <w:t>Lawyer on way to work driving his own personal vehicle is not covered by the law firm’s policy because he was not engaged in</w:t>
      </w:r>
      <w:r w:rsidRPr="0013263C">
        <w:rPr>
          <w:color w:val="231F20"/>
        </w:rPr>
        <w:t xml:space="preserve"> </w:t>
      </w:r>
      <w:r>
        <w:rPr>
          <w:color w:val="231F20"/>
        </w:rPr>
        <w:t>any income-producing activity nor was he engaged in any non-income producing activity that benefited the business. He was simply going to</w:t>
      </w:r>
      <w:r w:rsidRPr="0013263C">
        <w:rPr>
          <w:color w:val="231F20"/>
        </w:rPr>
        <w:t xml:space="preserve"> </w:t>
      </w:r>
      <w:r>
        <w:rPr>
          <w:color w:val="231F20"/>
        </w:rPr>
        <w:t>work.</w:t>
      </w:r>
    </w:p>
    <w:p w14:paraId="5A93DC9D" w14:textId="77777777" w:rsidR="009910CD" w:rsidRDefault="00FC2690" w:rsidP="00B92944">
      <w:pPr>
        <w:spacing w:before="131" w:line="240" w:lineRule="exact"/>
        <w:ind w:left="720" w:right="821"/>
      </w:pPr>
      <w:r>
        <w:rPr>
          <w:color w:val="231F20"/>
        </w:rPr>
        <w:t>2011—</w:t>
      </w:r>
      <w:r>
        <w:rPr>
          <w:i/>
          <w:color w:val="231F20"/>
        </w:rPr>
        <w:t>Farmers Ins. Exchange v. Enterprise Leasing Co.</w:t>
      </w:r>
      <w:r>
        <w:rPr>
          <w:color w:val="231F20"/>
        </w:rPr>
        <w:t>, 281 Va. 612, 708 S.E.2d 852.</w:t>
      </w:r>
    </w:p>
    <w:p w14:paraId="75835BB5" w14:textId="050F4F69" w:rsidR="009910CD" w:rsidRDefault="00FC2690" w:rsidP="0013263C">
      <w:pPr>
        <w:pStyle w:val="BodyText"/>
        <w:spacing w:before="120" w:after="120"/>
        <w:ind w:left="1440"/>
        <w:jc w:val="both"/>
        <w:rPr>
          <w:color w:val="231F20"/>
        </w:rPr>
      </w:pPr>
      <w:r>
        <w:rPr>
          <w:color w:val="231F20"/>
        </w:rPr>
        <w:t>Self-insured rental car company may seek indemnity from renter. Renter’s insurer is required in this case to reimburse the rental car company for damages.</w:t>
      </w:r>
    </w:p>
    <w:p w14:paraId="18F25FA5" w14:textId="343F65DE" w:rsidR="0019070D" w:rsidRDefault="0019070D" w:rsidP="00AF062B">
      <w:pPr>
        <w:tabs>
          <w:tab w:val="left" w:pos="2121"/>
        </w:tabs>
        <w:spacing w:before="95"/>
        <w:ind w:left="1170" w:hanging="450"/>
        <w:rPr>
          <w:b/>
        </w:rPr>
      </w:pPr>
      <w:r>
        <w:rPr>
          <w:b/>
          <w:color w:val="231F20"/>
        </w:rPr>
        <w:t>[4]</w:t>
      </w:r>
      <w:r>
        <w:rPr>
          <w:b/>
          <w:color w:val="231F20"/>
        </w:rPr>
        <w:tab/>
        <w:t>General Liability</w:t>
      </w:r>
    </w:p>
    <w:p w14:paraId="254BF0CB" w14:textId="6022310F" w:rsidR="0019070D" w:rsidRDefault="0019070D" w:rsidP="0019070D">
      <w:pPr>
        <w:spacing w:before="131" w:line="240" w:lineRule="exact"/>
        <w:ind w:left="720" w:right="821"/>
      </w:pPr>
      <w:r>
        <w:rPr>
          <w:color w:val="231F20"/>
        </w:rPr>
        <w:t>2019—</w:t>
      </w:r>
      <w:r>
        <w:rPr>
          <w:i/>
          <w:color w:val="231F20"/>
        </w:rPr>
        <w:t>James River Insurance v. Doswell Truck Stop</w:t>
      </w:r>
      <w:r>
        <w:rPr>
          <w:color w:val="231F20"/>
        </w:rPr>
        <w:t>, 297 Va. 304, 827 S.E.2d 374.</w:t>
      </w:r>
    </w:p>
    <w:p w14:paraId="6D6169E5" w14:textId="076CF6E6" w:rsidR="0019070D" w:rsidRPr="0013263C" w:rsidRDefault="0019070D" w:rsidP="0019070D">
      <w:pPr>
        <w:pStyle w:val="BodyText"/>
        <w:spacing w:before="120" w:after="120"/>
        <w:ind w:left="1440"/>
        <w:jc w:val="both"/>
        <w:rPr>
          <w:color w:val="231F20"/>
        </w:rPr>
      </w:pPr>
      <w:r>
        <w:rPr>
          <w:color w:val="231F20"/>
        </w:rPr>
        <w:t xml:space="preserve">Carrier issued policy to Doswell that had exclusion in it for body injury or property damage arising from maintenance of an auto.  A customer was injured in the shop as a result of a tire explosion.  James River properly denied coverage.  There is no ambiguity as to the meaning of the word “maintenance”.  The mere fact that a term may be subject to different interpretations does not make it ambiguous.  The term must be viewed in light of the entire contract.  </w:t>
      </w:r>
    </w:p>
    <w:p w14:paraId="30E48841" w14:textId="738A7B7C" w:rsidR="00AD5F56" w:rsidRPr="00AD5F56" w:rsidRDefault="00E91E96" w:rsidP="00AF062B">
      <w:pPr>
        <w:tabs>
          <w:tab w:val="left" w:pos="2121"/>
        </w:tabs>
        <w:spacing w:before="95"/>
        <w:ind w:left="1170" w:hanging="450"/>
        <w:rPr>
          <w:b/>
        </w:rPr>
      </w:pPr>
      <w:r>
        <w:rPr>
          <w:b/>
          <w:color w:val="231F20"/>
        </w:rPr>
        <w:lastRenderedPageBreak/>
        <w:t>[5]</w:t>
      </w:r>
      <w:r>
        <w:rPr>
          <w:b/>
          <w:color w:val="231F20"/>
        </w:rPr>
        <w:tab/>
        <w:t>Insured</w:t>
      </w:r>
    </w:p>
    <w:p w14:paraId="471C475F" w14:textId="6CC56901" w:rsidR="00E91E96" w:rsidRDefault="00E91E96" w:rsidP="00E91E96">
      <w:pPr>
        <w:spacing w:before="131" w:line="240" w:lineRule="exact"/>
        <w:ind w:left="720" w:right="821"/>
      </w:pPr>
      <w:r>
        <w:rPr>
          <w:color w:val="231F20"/>
        </w:rPr>
        <w:t>2019—</w:t>
      </w:r>
      <w:r>
        <w:rPr>
          <w:i/>
          <w:color w:val="231F20"/>
        </w:rPr>
        <w:t>Erie Insurance Exchange v. EPC MD 15, LLC</w:t>
      </w:r>
      <w:r>
        <w:rPr>
          <w:color w:val="231F20"/>
        </w:rPr>
        <w:t>, 297 Va. 21, 822 S.E.2d 351.</w:t>
      </w:r>
    </w:p>
    <w:p w14:paraId="37661D27" w14:textId="194F5221" w:rsidR="00E91E96" w:rsidRPr="0013263C" w:rsidRDefault="00E91E96" w:rsidP="00E91E96">
      <w:pPr>
        <w:pStyle w:val="BodyText"/>
        <w:spacing w:before="120" w:after="120"/>
        <w:ind w:left="1440"/>
        <w:jc w:val="both"/>
        <w:rPr>
          <w:color w:val="231F20"/>
        </w:rPr>
      </w:pPr>
      <w:r>
        <w:rPr>
          <w:color w:val="231F20"/>
        </w:rPr>
        <w:t xml:space="preserve">A commercial coverage policy was issued to a Maryland LLC for fire and other damage to real property in that state.  The Maryland LLC acquired a Virginia LLC that owned real estate.  The policy did not cover the damaged property of the Virginia LLC.  The Virginia LLC was not a named insured.  </w:t>
      </w:r>
    </w:p>
    <w:p w14:paraId="4B622571" w14:textId="77777777" w:rsidR="000C07B6" w:rsidRDefault="000C07B6" w:rsidP="00AF062B">
      <w:pPr>
        <w:tabs>
          <w:tab w:val="left" w:pos="2121"/>
        </w:tabs>
        <w:spacing w:before="95"/>
        <w:ind w:left="1170" w:hanging="450"/>
        <w:rPr>
          <w:b/>
        </w:rPr>
      </w:pPr>
      <w:r>
        <w:rPr>
          <w:b/>
          <w:color w:val="231F20"/>
        </w:rPr>
        <w:t>[6]</w:t>
      </w:r>
      <w:r>
        <w:rPr>
          <w:b/>
          <w:color w:val="231F20"/>
        </w:rPr>
        <w:tab/>
        <w:t>Health Insurance</w:t>
      </w:r>
    </w:p>
    <w:p w14:paraId="0F432F1A" w14:textId="247AD8B4" w:rsidR="000C07B6" w:rsidRDefault="00E0373C" w:rsidP="00DF5F80">
      <w:pPr>
        <w:pStyle w:val="BodyText"/>
        <w:spacing w:before="75" w:line="249" w:lineRule="auto"/>
        <w:ind w:left="1440" w:right="1044"/>
        <w:jc w:val="both"/>
      </w:pPr>
      <w:r w:rsidRPr="002046B8">
        <w:rPr>
          <w:i/>
          <w:iCs/>
          <w:color w:val="231F20"/>
        </w:rPr>
        <w:t>See</w:t>
      </w:r>
      <w:r>
        <w:rPr>
          <w:color w:val="231F20"/>
        </w:rPr>
        <w:t xml:space="preserve"> </w:t>
      </w:r>
      <w:r w:rsidRPr="002046B8">
        <w:rPr>
          <w:iCs/>
          <w:color w:val="231F20"/>
        </w:rPr>
        <w:t>Virginia Code</w:t>
      </w:r>
      <w:r>
        <w:rPr>
          <w:color w:val="231F20"/>
        </w:rPr>
        <w:t xml:space="preserve"> § 8.01-27.5 as to duty of in-network providers to submit claims</w:t>
      </w:r>
      <w:r w:rsidR="000C07B6">
        <w:rPr>
          <w:color w:val="231F20"/>
        </w:rPr>
        <w:t>.</w:t>
      </w:r>
    </w:p>
    <w:p w14:paraId="1F72C420" w14:textId="22B03E8F" w:rsidR="009910CD" w:rsidRDefault="00FC2690" w:rsidP="00AF062B">
      <w:pPr>
        <w:pStyle w:val="Heading4"/>
        <w:tabs>
          <w:tab w:val="left" w:pos="2121"/>
        </w:tabs>
        <w:spacing w:before="78"/>
        <w:ind w:left="1170" w:hanging="450"/>
      </w:pPr>
      <w:r>
        <w:rPr>
          <w:color w:val="231F20"/>
        </w:rPr>
        <w:t>[7]</w:t>
      </w:r>
      <w:r>
        <w:rPr>
          <w:color w:val="231F20"/>
        </w:rPr>
        <w:tab/>
        <w:t>Homeowners’</w:t>
      </w:r>
      <w:r>
        <w:rPr>
          <w:color w:val="231F20"/>
          <w:spacing w:val="-3"/>
        </w:rPr>
        <w:t xml:space="preserve"> </w:t>
      </w:r>
      <w:r>
        <w:rPr>
          <w:color w:val="231F20"/>
        </w:rPr>
        <w:t>Policy</w:t>
      </w:r>
    </w:p>
    <w:p w14:paraId="5A2DF891" w14:textId="3C2566E2" w:rsidR="00880C19" w:rsidRDefault="00880C19" w:rsidP="00880C19">
      <w:pPr>
        <w:spacing w:before="139" w:line="240" w:lineRule="exact"/>
        <w:ind w:left="720" w:right="1127"/>
      </w:pPr>
      <w:r>
        <w:rPr>
          <w:color w:val="231F20"/>
        </w:rPr>
        <w:t>2022—</w:t>
      </w:r>
      <w:r>
        <w:rPr>
          <w:i/>
          <w:color w:val="231F20"/>
        </w:rPr>
        <w:t>Erie Insurance Exchange v. Jones</w:t>
      </w:r>
      <w:r>
        <w:rPr>
          <w:color w:val="231F20"/>
        </w:rPr>
        <w:t>, 301 Va. 61, 870 S.E.2d 716.</w:t>
      </w:r>
    </w:p>
    <w:p w14:paraId="23162424" w14:textId="37223C80" w:rsidR="00880C19" w:rsidRDefault="00880C19" w:rsidP="00880C19">
      <w:pPr>
        <w:spacing w:before="139" w:line="240" w:lineRule="exact"/>
        <w:ind w:left="1440"/>
        <w:jc w:val="both"/>
        <w:rPr>
          <w:color w:val="231F20"/>
        </w:rPr>
      </w:pPr>
      <w:r>
        <w:rPr>
          <w:color w:val="231F20"/>
        </w:rPr>
        <w:t>ATV is not a farm-type vehicle and therefore excluded from homeowners’ policy.</w:t>
      </w:r>
    </w:p>
    <w:p w14:paraId="10DAC4A3" w14:textId="3D272DD5" w:rsidR="009910CD" w:rsidRDefault="00FC2690" w:rsidP="00D04B99">
      <w:pPr>
        <w:spacing w:before="139" w:line="240" w:lineRule="exact"/>
        <w:ind w:left="720" w:right="1127"/>
      </w:pPr>
      <w:r>
        <w:rPr>
          <w:color w:val="231F20"/>
        </w:rPr>
        <w:t>2012—</w:t>
      </w:r>
      <w:r>
        <w:rPr>
          <w:i/>
          <w:color w:val="231F20"/>
        </w:rPr>
        <w:t>TravCo Insurance Company v. Ward</w:t>
      </w:r>
      <w:r>
        <w:rPr>
          <w:color w:val="231F20"/>
        </w:rPr>
        <w:t>, 284 Va. 547, 736 S.E.2d 321.</w:t>
      </w:r>
    </w:p>
    <w:p w14:paraId="33B65FDB" w14:textId="77777777" w:rsidR="009910CD" w:rsidRDefault="00FC2690" w:rsidP="0013263C">
      <w:pPr>
        <w:pStyle w:val="BodyText"/>
        <w:spacing w:before="120" w:after="120"/>
        <w:ind w:left="1440"/>
        <w:jc w:val="both"/>
        <w:rPr>
          <w:color w:val="231F20"/>
        </w:rPr>
      </w:pPr>
      <w:r>
        <w:rPr>
          <w:color w:val="231F20"/>
        </w:rPr>
        <w:t>All risk homeowners’ policy did not cover damage resulting from defective drywall manufactured in China which emitted various compounds and caused health issues. This claim is excluded from coverage because the damage is a loss caused by latent defect, faulty, inadequate or defective materials, rust or other corrosion, or pollutants as defined in the</w:t>
      </w:r>
      <w:r w:rsidR="00B64C57">
        <w:rPr>
          <w:color w:val="231F20"/>
        </w:rPr>
        <w:t xml:space="preserve"> </w:t>
      </w:r>
      <w:r>
        <w:rPr>
          <w:color w:val="231F20"/>
        </w:rPr>
        <w:t>policy.</w:t>
      </w:r>
    </w:p>
    <w:p w14:paraId="1685C3ED" w14:textId="13D07EA7" w:rsidR="009910CD" w:rsidRDefault="00FC2690" w:rsidP="00AF062B">
      <w:pPr>
        <w:pStyle w:val="Heading4"/>
        <w:tabs>
          <w:tab w:val="left" w:pos="2121"/>
        </w:tabs>
        <w:spacing w:before="79"/>
        <w:ind w:left="1170" w:hanging="450"/>
      </w:pPr>
      <w:r>
        <w:rPr>
          <w:color w:val="231F20"/>
        </w:rPr>
        <w:t>[9]</w:t>
      </w:r>
      <w:r>
        <w:rPr>
          <w:color w:val="231F20"/>
        </w:rPr>
        <w:tab/>
        <w:t>Professional</w:t>
      </w:r>
      <w:r>
        <w:rPr>
          <w:color w:val="231F20"/>
          <w:spacing w:val="9"/>
        </w:rPr>
        <w:t xml:space="preserve"> </w:t>
      </w:r>
      <w:r>
        <w:rPr>
          <w:color w:val="231F20"/>
        </w:rPr>
        <w:t>Liability</w:t>
      </w:r>
    </w:p>
    <w:p w14:paraId="24BA1DB6" w14:textId="77777777" w:rsidR="009910CD" w:rsidRDefault="00FC2690" w:rsidP="00D04B99">
      <w:pPr>
        <w:spacing w:before="139" w:line="240" w:lineRule="exact"/>
        <w:ind w:left="720" w:right="676"/>
      </w:pPr>
      <w:r>
        <w:rPr>
          <w:color w:val="231F20"/>
        </w:rPr>
        <w:t>2013—</w:t>
      </w:r>
      <w:r>
        <w:rPr>
          <w:i/>
          <w:color w:val="231F20"/>
        </w:rPr>
        <w:t>The Doctors’ Co. v. Women’s Healthcare Assoc.</w:t>
      </w:r>
      <w:r>
        <w:rPr>
          <w:color w:val="231F20"/>
        </w:rPr>
        <w:t>, 285 Va. 566, 740 S.E.2d 523.</w:t>
      </w:r>
    </w:p>
    <w:p w14:paraId="131294F4" w14:textId="77777777" w:rsidR="009910CD" w:rsidRPr="0013263C" w:rsidRDefault="00FC2690" w:rsidP="0013263C">
      <w:pPr>
        <w:pStyle w:val="BodyText"/>
        <w:spacing w:before="120" w:after="120"/>
        <w:ind w:left="1440"/>
        <w:jc w:val="both"/>
        <w:rPr>
          <w:color w:val="231F20"/>
        </w:rPr>
      </w:pPr>
      <w:r>
        <w:rPr>
          <w:color w:val="231F20"/>
        </w:rPr>
        <w:t xml:space="preserve">Trial </w:t>
      </w:r>
      <w:r w:rsidR="00AE3B68">
        <w:rPr>
          <w:color w:val="231F20"/>
        </w:rPr>
        <w:t>c</w:t>
      </w:r>
      <w:r>
        <w:rPr>
          <w:color w:val="231F20"/>
        </w:rPr>
        <w:t>ourt correctly found that professional liability coverage applied to a breach of contract claim brought by family alleging</w:t>
      </w:r>
      <w:r w:rsidRPr="0013263C">
        <w:rPr>
          <w:color w:val="231F20"/>
        </w:rPr>
        <w:t xml:space="preserve"> </w:t>
      </w:r>
      <w:r>
        <w:rPr>
          <w:color w:val="231F20"/>
        </w:rPr>
        <w:t xml:space="preserve">that healthcare provider misrepresented its participation in the </w:t>
      </w:r>
      <w:r w:rsidRPr="0013263C">
        <w:rPr>
          <w:color w:val="231F20"/>
        </w:rPr>
        <w:t xml:space="preserve">Virginia </w:t>
      </w:r>
      <w:r>
        <w:rPr>
          <w:color w:val="231F20"/>
        </w:rPr>
        <w:t>Birth-Related Neurological Injury Compensation</w:t>
      </w:r>
      <w:r w:rsidRPr="0013263C">
        <w:rPr>
          <w:color w:val="231F20"/>
        </w:rPr>
        <w:t xml:space="preserve"> </w:t>
      </w:r>
      <w:r>
        <w:rPr>
          <w:color w:val="231F20"/>
        </w:rPr>
        <w:t>Act.</w:t>
      </w:r>
    </w:p>
    <w:p w14:paraId="4AE91335"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20.09</w:t>
      </w:r>
      <w:r>
        <w:rPr>
          <w:color w:val="231F20"/>
        </w:rPr>
        <w:tab/>
        <w:t>False</w:t>
      </w:r>
      <w:r w:rsidRPr="00334C7C">
        <w:rPr>
          <w:color w:val="231F20"/>
        </w:rPr>
        <w:t xml:space="preserve"> </w:t>
      </w:r>
      <w:r>
        <w:rPr>
          <w:color w:val="231F20"/>
        </w:rPr>
        <w:t>Representation</w:t>
      </w:r>
    </w:p>
    <w:p w14:paraId="6A92A56E" w14:textId="77777777" w:rsidR="009910CD" w:rsidRDefault="00FC2690" w:rsidP="00D04B99">
      <w:pPr>
        <w:spacing w:before="125"/>
        <w:ind w:left="720"/>
      </w:pPr>
      <w:r>
        <w:rPr>
          <w:color w:val="231F20"/>
        </w:rPr>
        <w:t>2009—</w:t>
      </w:r>
      <w:r>
        <w:rPr>
          <w:i/>
          <w:color w:val="231F20"/>
        </w:rPr>
        <w:t>Portillo v.</w:t>
      </w:r>
      <w:r w:rsidR="00B64C57">
        <w:rPr>
          <w:i/>
          <w:color w:val="231F20"/>
        </w:rPr>
        <w:t xml:space="preserve"> </w:t>
      </w:r>
      <w:r>
        <w:rPr>
          <w:i/>
          <w:color w:val="231F20"/>
        </w:rPr>
        <w:t>Nationwide Mut. Fire Ins. Co.</w:t>
      </w:r>
      <w:r>
        <w:rPr>
          <w:color w:val="231F20"/>
        </w:rPr>
        <w:t>, 277 Va.</w:t>
      </w:r>
      <w:r w:rsidR="00B64C57">
        <w:rPr>
          <w:color w:val="231F20"/>
        </w:rPr>
        <w:t xml:space="preserve"> </w:t>
      </w:r>
      <w:r>
        <w:rPr>
          <w:color w:val="231F20"/>
        </w:rPr>
        <w:t>193, 671</w:t>
      </w:r>
      <w:r w:rsidR="00B64C57">
        <w:rPr>
          <w:color w:val="231F20"/>
        </w:rPr>
        <w:t xml:space="preserve"> </w:t>
      </w:r>
      <w:r>
        <w:rPr>
          <w:color w:val="231F20"/>
        </w:rPr>
        <w:t>S.E.2d</w:t>
      </w:r>
      <w:r w:rsidR="00D04B99">
        <w:rPr>
          <w:color w:val="231F20"/>
        </w:rPr>
        <w:t xml:space="preserve"> 153.</w:t>
      </w:r>
    </w:p>
    <w:p w14:paraId="16E14A40" w14:textId="77777777" w:rsidR="009910CD" w:rsidRPr="0013263C" w:rsidRDefault="00FC2690" w:rsidP="0013263C">
      <w:pPr>
        <w:pStyle w:val="BodyText"/>
        <w:spacing w:before="120" w:after="120"/>
        <w:ind w:left="1440"/>
        <w:jc w:val="both"/>
        <w:rPr>
          <w:color w:val="231F20"/>
        </w:rPr>
      </w:pPr>
      <w:r>
        <w:rPr>
          <w:color w:val="231F20"/>
        </w:rPr>
        <w:t>Insured committed material misrepresentation in not disclosing the number of persons of driving age living in the household, and this was a basis for voiding the</w:t>
      </w:r>
      <w:r w:rsidR="00B64C57">
        <w:rPr>
          <w:color w:val="231F20"/>
        </w:rPr>
        <w:t xml:space="preserve"> </w:t>
      </w:r>
      <w:r w:rsidRPr="0013263C">
        <w:rPr>
          <w:color w:val="231F20"/>
        </w:rPr>
        <w:t>policy.</w:t>
      </w:r>
    </w:p>
    <w:p w14:paraId="5BEA3232"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20.11</w:t>
      </w:r>
      <w:r w:rsidRPr="00334C7C">
        <w:rPr>
          <w:color w:val="231F20"/>
        </w:rPr>
        <w:tab/>
      </w:r>
      <w:r>
        <w:rPr>
          <w:color w:val="231F20"/>
        </w:rPr>
        <w:t>Garage</w:t>
      </w:r>
      <w:r w:rsidRPr="00334C7C">
        <w:rPr>
          <w:color w:val="231F20"/>
        </w:rPr>
        <w:t xml:space="preserve"> </w:t>
      </w:r>
      <w:r>
        <w:rPr>
          <w:color w:val="231F20"/>
        </w:rPr>
        <w:t>Policy</w:t>
      </w:r>
    </w:p>
    <w:p w14:paraId="429483CD" w14:textId="77777777" w:rsidR="009910CD" w:rsidRDefault="00FC2690" w:rsidP="00D04B99">
      <w:pPr>
        <w:spacing w:before="136"/>
        <w:ind w:left="720"/>
      </w:pPr>
      <w:r>
        <w:rPr>
          <w:color w:val="231F20"/>
        </w:rPr>
        <w:t>2009—</w:t>
      </w:r>
      <w:r>
        <w:rPr>
          <w:i/>
          <w:color w:val="231F20"/>
        </w:rPr>
        <w:t>Seals v.</w:t>
      </w:r>
      <w:r w:rsidR="00B64C57">
        <w:rPr>
          <w:i/>
          <w:color w:val="231F20"/>
        </w:rPr>
        <w:t xml:space="preserve"> </w:t>
      </w:r>
      <w:r>
        <w:rPr>
          <w:i/>
          <w:color w:val="231F20"/>
        </w:rPr>
        <w:t>Erie Ins. Exch.</w:t>
      </w:r>
      <w:r>
        <w:rPr>
          <w:color w:val="231F20"/>
        </w:rPr>
        <w:t>, 277 Va.</w:t>
      </w:r>
      <w:r w:rsidR="00B64C57">
        <w:rPr>
          <w:color w:val="231F20"/>
        </w:rPr>
        <w:t xml:space="preserve"> </w:t>
      </w:r>
      <w:r>
        <w:rPr>
          <w:color w:val="231F20"/>
        </w:rPr>
        <w:t>558, 674 S.E.2d</w:t>
      </w:r>
      <w:r w:rsidR="00B64C57">
        <w:rPr>
          <w:color w:val="231F20"/>
        </w:rPr>
        <w:t xml:space="preserve"> </w:t>
      </w:r>
      <w:r>
        <w:rPr>
          <w:color w:val="231F20"/>
        </w:rPr>
        <w:t>860.</w:t>
      </w:r>
    </w:p>
    <w:p w14:paraId="56912EEE" w14:textId="77777777" w:rsidR="009910CD" w:rsidRPr="0013263C" w:rsidRDefault="00FC2690" w:rsidP="0013263C">
      <w:pPr>
        <w:pStyle w:val="BodyText"/>
        <w:spacing w:before="120" w:after="120"/>
        <w:ind w:left="1440"/>
        <w:jc w:val="both"/>
        <w:rPr>
          <w:color w:val="231F20"/>
        </w:rPr>
      </w:pPr>
      <w:r>
        <w:rPr>
          <w:color w:val="231F20"/>
        </w:rPr>
        <w:t>Plaintiff injured while test driving a motor vehicle is entitled to uninsured motorist coverage under the Dealership’s Garage</w:t>
      </w:r>
      <w:r w:rsidRPr="0013263C">
        <w:rPr>
          <w:color w:val="231F20"/>
        </w:rPr>
        <w:t xml:space="preserve"> </w:t>
      </w:r>
      <w:r>
        <w:rPr>
          <w:color w:val="231F20"/>
        </w:rPr>
        <w:t>Keepers Insurance</w:t>
      </w:r>
      <w:r w:rsidRPr="0013263C">
        <w:rPr>
          <w:color w:val="231F20"/>
        </w:rPr>
        <w:t xml:space="preserve"> Policy.</w:t>
      </w:r>
    </w:p>
    <w:p w14:paraId="1AC24A0A" w14:textId="77777777"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20.13</w:t>
      </w:r>
      <w:r>
        <w:rPr>
          <w:color w:val="231F20"/>
        </w:rPr>
        <w:tab/>
        <w:t>Medical</w:t>
      </w:r>
      <w:r w:rsidRPr="00334C7C">
        <w:rPr>
          <w:color w:val="231F20"/>
        </w:rPr>
        <w:t xml:space="preserve"> </w:t>
      </w:r>
      <w:r>
        <w:rPr>
          <w:color w:val="231F20"/>
        </w:rPr>
        <w:t>Payment</w:t>
      </w:r>
    </w:p>
    <w:p w14:paraId="424B97F3" w14:textId="16612686" w:rsidR="00EF7A8A" w:rsidRDefault="00EF7A8A" w:rsidP="00EF7A8A">
      <w:pPr>
        <w:spacing w:before="141" w:line="250" w:lineRule="exact"/>
        <w:ind w:left="720"/>
      </w:pPr>
      <w:r>
        <w:rPr>
          <w:color w:val="231F20"/>
        </w:rPr>
        <w:t>2023—</w:t>
      </w:r>
      <w:r>
        <w:rPr>
          <w:i/>
          <w:color w:val="231F20"/>
        </w:rPr>
        <w:t>USAA v. Estep</w:t>
      </w:r>
      <w:r>
        <w:rPr>
          <w:color w:val="231F20"/>
        </w:rPr>
        <w:t>, 77 Va. App. 16, 884 S.E.2d 232.</w:t>
      </w:r>
    </w:p>
    <w:p w14:paraId="69111F0A" w14:textId="33199B58" w:rsidR="00EF7A8A" w:rsidRPr="0013263C" w:rsidRDefault="00EF7A8A" w:rsidP="00EF7A8A">
      <w:pPr>
        <w:pStyle w:val="BodyText"/>
        <w:spacing w:before="120" w:after="120"/>
        <w:ind w:left="1440"/>
        <w:jc w:val="both"/>
        <w:rPr>
          <w:color w:val="231F20"/>
        </w:rPr>
      </w:pPr>
      <w:r>
        <w:rPr>
          <w:color w:val="231F20"/>
        </w:rPr>
        <w:t xml:space="preserve">Luggage cart hits driver while driver is outside of vehicle as he loaded luggage into vehicle. Claim is covered by med pay since injury arose out of use of vehicle as a vehicle and the driver was upon the car and therefore occupying it when the cart hit him. </w:t>
      </w:r>
    </w:p>
    <w:p w14:paraId="2A9F127D" w14:textId="77777777" w:rsidR="009910CD" w:rsidRDefault="00FC2690" w:rsidP="0013263C">
      <w:pPr>
        <w:spacing w:before="141" w:line="250" w:lineRule="exact"/>
        <w:ind w:left="720"/>
      </w:pPr>
      <w:r>
        <w:rPr>
          <w:color w:val="231F20"/>
        </w:rPr>
        <w:t>2013—</w:t>
      </w:r>
      <w:r>
        <w:rPr>
          <w:i/>
          <w:color w:val="231F20"/>
        </w:rPr>
        <w:t>Christy v. Mercury Casualty Company</w:t>
      </w:r>
      <w:r>
        <w:rPr>
          <w:color w:val="231F20"/>
        </w:rPr>
        <w:t>, 283 Va. 542, 722 S.E.2d 256.</w:t>
      </w:r>
    </w:p>
    <w:p w14:paraId="3395095F" w14:textId="77777777" w:rsidR="009910CD" w:rsidRPr="0013263C" w:rsidRDefault="00FC2690" w:rsidP="0013263C">
      <w:pPr>
        <w:pStyle w:val="BodyText"/>
        <w:spacing w:before="120" w:after="120"/>
        <w:ind w:left="1440"/>
        <w:jc w:val="both"/>
        <w:rPr>
          <w:color w:val="231F20"/>
        </w:rPr>
      </w:pPr>
      <w:r>
        <w:rPr>
          <w:color w:val="231F20"/>
        </w:rPr>
        <w:t>Medical payments coverage was properly denied where benefits in whole or in part are payable under any workers’ compensation</w:t>
      </w:r>
      <w:r w:rsidR="00B64C57">
        <w:rPr>
          <w:color w:val="231F20"/>
        </w:rPr>
        <w:t xml:space="preserve"> </w:t>
      </w:r>
      <w:r>
        <w:rPr>
          <w:color w:val="231F20"/>
        </w:rPr>
        <w:t>law.</w:t>
      </w:r>
    </w:p>
    <w:p w14:paraId="2A9827FC" w14:textId="77777777" w:rsidR="009F430B" w:rsidRDefault="009F430B">
      <w:pPr>
        <w:rPr>
          <w:b/>
          <w:bCs/>
          <w:color w:val="231F20"/>
        </w:rPr>
      </w:pPr>
      <w:r>
        <w:rPr>
          <w:color w:val="231F20"/>
        </w:rPr>
        <w:br w:type="page"/>
      </w:r>
    </w:p>
    <w:p w14:paraId="779551AF" w14:textId="4DAE163E" w:rsidR="009910CD" w:rsidRPr="00334C7C" w:rsidRDefault="00FC2690" w:rsidP="00334C7C">
      <w:pPr>
        <w:pStyle w:val="Heading4"/>
        <w:tabs>
          <w:tab w:val="left" w:pos="720"/>
        </w:tabs>
        <w:spacing w:before="0" w:line="241" w:lineRule="exact"/>
        <w:ind w:left="0"/>
        <w:rPr>
          <w:color w:val="231F20"/>
        </w:rPr>
      </w:pPr>
      <w:r>
        <w:rPr>
          <w:color w:val="231F20"/>
        </w:rPr>
        <w:lastRenderedPageBreak/>
        <w:t>§</w:t>
      </w:r>
      <w:r w:rsidRPr="00334C7C">
        <w:rPr>
          <w:color w:val="231F20"/>
        </w:rPr>
        <w:t xml:space="preserve"> </w:t>
      </w:r>
      <w:r>
        <w:rPr>
          <w:color w:val="231F20"/>
        </w:rPr>
        <w:t>20.14</w:t>
      </w:r>
      <w:r>
        <w:rPr>
          <w:color w:val="231F20"/>
        </w:rPr>
        <w:tab/>
        <w:t>Notice of</w:t>
      </w:r>
      <w:r w:rsidRPr="00334C7C">
        <w:rPr>
          <w:color w:val="231F20"/>
        </w:rPr>
        <w:t xml:space="preserve"> </w:t>
      </w:r>
      <w:r>
        <w:rPr>
          <w:color w:val="231F20"/>
        </w:rPr>
        <w:t>Claim</w:t>
      </w:r>
    </w:p>
    <w:p w14:paraId="366B8E0D" w14:textId="77777777" w:rsidR="009910CD" w:rsidRDefault="00FC2690" w:rsidP="0013263C">
      <w:pPr>
        <w:spacing w:before="135"/>
        <w:ind w:left="720"/>
      </w:pPr>
      <w:r>
        <w:rPr>
          <w:color w:val="231F20"/>
        </w:rPr>
        <w:t>2011—</w:t>
      </w:r>
      <w:r>
        <w:rPr>
          <w:i/>
          <w:color w:val="231F20"/>
        </w:rPr>
        <w:t>Dabney v. Augusta Mut. Ins. Co.</w:t>
      </w:r>
      <w:r>
        <w:rPr>
          <w:color w:val="231F20"/>
        </w:rPr>
        <w:t>, 282 Va.</w:t>
      </w:r>
      <w:r w:rsidR="00B64C57">
        <w:rPr>
          <w:color w:val="231F20"/>
        </w:rPr>
        <w:t xml:space="preserve"> </w:t>
      </w:r>
      <w:r>
        <w:rPr>
          <w:color w:val="231F20"/>
        </w:rPr>
        <w:t>78, 710 S.E.2d</w:t>
      </w:r>
      <w:r w:rsidR="00B64C57">
        <w:rPr>
          <w:color w:val="231F20"/>
        </w:rPr>
        <w:t xml:space="preserve"> </w:t>
      </w:r>
      <w:r>
        <w:rPr>
          <w:color w:val="231F20"/>
        </w:rPr>
        <w:t>726.</w:t>
      </w:r>
    </w:p>
    <w:p w14:paraId="57355CB7" w14:textId="77777777" w:rsidR="009910CD" w:rsidRDefault="00FC2690" w:rsidP="0013263C">
      <w:pPr>
        <w:pStyle w:val="BodyText"/>
        <w:spacing w:before="120" w:after="120"/>
        <w:ind w:left="1440"/>
        <w:jc w:val="both"/>
        <w:rPr>
          <w:color w:val="231F20"/>
        </w:rPr>
      </w:pPr>
      <w:r>
        <w:rPr>
          <w:color w:val="231F20"/>
        </w:rPr>
        <w:t>Under this homeowner’s policy, jury issue presented as to whether notice of accident was given “as soon as is</w:t>
      </w:r>
      <w:r w:rsidR="00B64C57">
        <w:rPr>
          <w:color w:val="231F20"/>
        </w:rPr>
        <w:t xml:space="preserve"> </w:t>
      </w:r>
      <w:r>
        <w:rPr>
          <w:color w:val="231F20"/>
        </w:rPr>
        <w:t>practical.”</w:t>
      </w:r>
    </w:p>
    <w:p w14:paraId="3532CA13" w14:textId="40977A13"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20.15</w:t>
      </w:r>
      <w:r>
        <w:rPr>
          <w:color w:val="231F20"/>
        </w:rPr>
        <w:tab/>
        <w:t>Permissive</w:t>
      </w:r>
      <w:r w:rsidRPr="00334C7C">
        <w:rPr>
          <w:color w:val="231F20"/>
        </w:rPr>
        <w:t xml:space="preserve"> </w:t>
      </w:r>
      <w:r>
        <w:rPr>
          <w:color w:val="231F20"/>
        </w:rPr>
        <w:t>Use</w:t>
      </w:r>
    </w:p>
    <w:p w14:paraId="787EFC76" w14:textId="77777777" w:rsidR="009910CD" w:rsidRDefault="00FC2690" w:rsidP="0013263C">
      <w:pPr>
        <w:spacing w:before="135"/>
        <w:ind w:left="720"/>
      </w:pPr>
      <w:r>
        <w:rPr>
          <w:color w:val="231F20"/>
        </w:rPr>
        <w:t>2011—</w:t>
      </w:r>
      <w:r>
        <w:rPr>
          <w:i/>
          <w:color w:val="231F20"/>
        </w:rPr>
        <w:t xml:space="preserve">GEICO </w:t>
      </w:r>
      <w:r>
        <w:rPr>
          <w:i/>
          <w:color w:val="231F20"/>
          <w:spacing w:val="-9"/>
        </w:rPr>
        <w:t>v.</w:t>
      </w:r>
      <w:r w:rsidR="00B64C57">
        <w:rPr>
          <w:i/>
          <w:color w:val="231F20"/>
          <w:spacing w:val="-9"/>
        </w:rPr>
        <w:t xml:space="preserve"> </w:t>
      </w:r>
      <w:r>
        <w:rPr>
          <w:i/>
          <w:color w:val="231F20"/>
        </w:rPr>
        <w:t>USAA</w:t>
      </w:r>
      <w:r>
        <w:rPr>
          <w:color w:val="231F20"/>
        </w:rPr>
        <w:t xml:space="preserve">, 281 </w:t>
      </w:r>
      <w:r>
        <w:rPr>
          <w:color w:val="231F20"/>
          <w:spacing w:val="-9"/>
        </w:rPr>
        <w:t>Va.</w:t>
      </w:r>
      <w:r w:rsidR="00B64C57">
        <w:rPr>
          <w:color w:val="231F20"/>
          <w:spacing w:val="-9"/>
        </w:rPr>
        <w:t xml:space="preserve"> </w:t>
      </w:r>
      <w:r>
        <w:rPr>
          <w:color w:val="231F20"/>
        </w:rPr>
        <w:t>647, 708 S.E.2d</w:t>
      </w:r>
      <w:r>
        <w:rPr>
          <w:color w:val="231F20"/>
          <w:spacing w:val="50"/>
        </w:rPr>
        <w:t xml:space="preserve"> </w:t>
      </w:r>
      <w:r>
        <w:rPr>
          <w:color w:val="231F20"/>
        </w:rPr>
        <w:t>877.</w:t>
      </w:r>
    </w:p>
    <w:p w14:paraId="3AA83899" w14:textId="2EB2F5A4" w:rsidR="009910CD" w:rsidRDefault="00FC2690" w:rsidP="0013263C">
      <w:pPr>
        <w:pStyle w:val="BodyText"/>
        <w:spacing w:before="120" w:after="120"/>
        <w:ind w:left="1440"/>
        <w:jc w:val="both"/>
        <w:rPr>
          <w:color w:val="231F20"/>
        </w:rPr>
      </w:pPr>
      <w:r>
        <w:rPr>
          <w:color w:val="231F20"/>
        </w:rPr>
        <w:t>In this permissive use case, the Court held that the first permittee with general use has the authority to permit either general use or to impose such limits on use by a second permittee as the first permittee finds prudent. In this case, the second permittee was</w:t>
      </w:r>
      <w:r w:rsidRPr="0013263C">
        <w:rPr>
          <w:color w:val="231F20"/>
        </w:rPr>
        <w:t xml:space="preserve"> </w:t>
      </w:r>
      <w:r>
        <w:rPr>
          <w:color w:val="231F20"/>
        </w:rPr>
        <w:t>using the vehicle in a reckless fashion. There was no evidence that he was using the vehicle</w:t>
      </w:r>
      <w:r w:rsidR="00EF48BA">
        <w:rPr>
          <w:color w:val="231F20"/>
        </w:rPr>
        <w:t xml:space="preserve"> </w:t>
      </w:r>
      <w:r>
        <w:rPr>
          <w:color w:val="231F20"/>
        </w:rPr>
        <w:t>within the scope of permission that he might reasonably have believed he had from the first permittee and therefore there is no</w:t>
      </w:r>
      <w:r w:rsidR="00B64C57">
        <w:rPr>
          <w:color w:val="231F20"/>
        </w:rPr>
        <w:t xml:space="preserve"> </w:t>
      </w:r>
      <w:r>
        <w:rPr>
          <w:color w:val="231F20"/>
        </w:rPr>
        <w:t>coverage.</w:t>
      </w:r>
    </w:p>
    <w:p w14:paraId="629017A0" w14:textId="2159706D" w:rsidR="000E4E13" w:rsidRPr="00334C7C" w:rsidRDefault="000E4E13"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20.16</w:t>
      </w:r>
      <w:r>
        <w:rPr>
          <w:color w:val="231F20"/>
        </w:rPr>
        <w:tab/>
        <w:t>Policy Limits</w:t>
      </w:r>
    </w:p>
    <w:p w14:paraId="4CE7515B" w14:textId="72705D27" w:rsidR="000E4E13" w:rsidRDefault="000E4E13" w:rsidP="00D04B99">
      <w:pPr>
        <w:ind w:left="1326"/>
        <w:rPr>
          <w:color w:val="231F20"/>
        </w:rPr>
      </w:pPr>
      <w:r w:rsidRPr="002046B8">
        <w:rPr>
          <w:i/>
          <w:iCs/>
          <w:color w:val="231F20"/>
        </w:rPr>
        <w:t>See</w:t>
      </w:r>
      <w:r>
        <w:rPr>
          <w:color w:val="231F20"/>
        </w:rPr>
        <w:t xml:space="preserve"> </w:t>
      </w:r>
      <w:r w:rsidR="002046B8">
        <w:rPr>
          <w:iCs/>
          <w:color w:val="231F20"/>
        </w:rPr>
        <w:t>Va. Code</w:t>
      </w:r>
      <w:r>
        <w:rPr>
          <w:color w:val="231F20"/>
        </w:rPr>
        <w:t xml:space="preserve"> § 8.01-417.01 as to disclosure of policy limits for homeowners and personal injury claims in certain circumstances.</w:t>
      </w:r>
    </w:p>
    <w:p w14:paraId="6128F00A" w14:textId="77777777" w:rsidR="00D04B99" w:rsidRDefault="00D04B99" w:rsidP="00D04B99">
      <w:pPr>
        <w:ind w:left="1326"/>
        <w:rPr>
          <w:color w:val="231F20"/>
        </w:rPr>
      </w:pPr>
    </w:p>
    <w:p w14:paraId="7A8DA39E" w14:textId="77777777" w:rsidR="009910CD" w:rsidRDefault="00FC2690" w:rsidP="00D04B99">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20.19</w:t>
      </w:r>
      <w:r>
        <w:rPr>
          <w:color w:val="231F20"/>
        </w:rPr>
        <w:tab/>
        <w:t>Uninsured</w:t>
      </w:r>
      <w:r w:rsidRPr="00334C7C">
        <w:rPr>
          <w:color w:val="231F20"/>
        </w:rPr>
        <w:t xml:space="preserve"> </w:t>
      </w:r>
      <w:r>
        <w:rPr>
          <w:color w:val="231F20"/>
        </w:rPr>
        <w:t>Motorist</w:t>
      </w:r>
    </w:p>
    <w:p w14:paraId="7F7B4B8A" w14:textId="6D3151F5" w:rsidR="009933B8" w:rsidRPr="00334C7C" w:rsidRDefault="002046B8" w:rsidP="009933B8">
      <w:pPr>
        <w:pStyle w:val="BodyText"/>
        <w:ind w:left="1440"/>
      </w:pPr>
      <w:r w:rsidRPr="002046B8">
        <w:rPr>
          <w:i/>
          <w:iCs/>
        </w:rPr>
        <w:t>See</w:t>
      </w:r>
      <w:r>
        <w:t xml:space="preserve"> Va.</w:t>
      </w:r>
      <w:r w:rsidR="009933B8">
        <w:t xml:space="preserve"> Code § 8.01-66.1:1 dealing with subrogation by UIM.</w:t>
      </w:r>
    </w:p>
    <w:p w14:paraId="70EF8208" w14:textId="0C6170A7" w:rsidR="00A93F0A" w:rsidRPr="007A00D1" w:rsidRDefault="00A93F0A" w:rsidP="00AF062B">
      <w:pPr>
        <w:pStyle w:val="ListParagraph"/>
        <w:numPr>
          <w:ilvl w:val="0"/>
          <w:numId w:val="48"/>
        </w:numPr>
        <w:spacing w:before="95"/>
        <w:ind w:left="1170" w:hanging="450"/>
        <w:rPr>
          <w:b/>
        </w:rPr>
      </w:pPr>
      <w:r>
        <w:rPr>
          <w:b/>
        </w:rPr>
        <w:t>Assault</w:t>
      </w:r>
    </w:p>
    <w:p w14:paraId="112B661A" w14:textId="58F570E8" w:rsidR="00A93F0A" w:rsidRDefault="00A93F0A" w:rsidP="00A93F0A">
      <w:pPr>
        <w:tabs>
          <w:tab w:val="left" w:pos="2041"/>
          <w:tab w:val="left" w:pos="2042"/>
        </w:tabs>
        <w:spacing w:before="95"/>
        <w:ind w:left="720"/>
        <w:rPr>
          <w:bCs/>
        </w:rPr>
      </w:pPr>
      <w:r w:rsidRPr="007A00D1">
        <w:rPr>
          <w:bCs/>
        </w:rPr>
        <w:t xml:space="preserve">2019 – </w:t>
      </w:r>
      <w:r w:rsidRPr="007A00D1">
        <w:rPr>
          <w:bCs/>
          <w:i/>
          <w:iCs/>
        </w:rPr>
        <w:t>Corriveau v. State Farm Mutual Auto Ins. Co.</w:t>
      </w:r>
      <w:r w:rsidRPr="007A00D1">
        <w:rPr>
          <w:bCs/>
        </w:rPr>
        <w:t>, 298 Va. 273, 836 S.E.2d 694</w:t>
      </w:r>
    </w:p>
    <w:p w14:paraId="5AF9650C" w14:textId="1CC0FD7E" w:rsidR="00A93F0A" w:rsidRPr="007A00D1" w:rsidRDefault="00A93F0A" w:rsidP="007A00D1">
      <w:pPr>
        <w:tabs>
          <w:tab w:val="left" w:pos="2041"/>
          <w:tab w:val="left" w:pos="2042"/>
        </w:tabs>
        <w:spacing w:before="95"/>
        <w:ind w:left="1440"/>
        <w:jc w:val="both"/>
        <w:rPr>
          <w:bCs/>
        </w:rPr>
      </w:pPr>
      <w:r>
        <w:rPr>
          <w:bCs/>
        </w:rPr>
        <w:t xml:space="preserve">Student alleged </w:t>
      </w:r>
      <w:r w:rsidR="00CB01CD">
        <w:rPr>
          <w:bCs/>
        </w:rPr>
        <w:t xml:space="preserve">injuries arising from physical and verbal abuse on a school bus.  UM coverage did not apply to this since injuries did not arise from actions involving use of vehicle as a means of transportation.  Supreme Court overrules </w:t>
      </w:r>
      <w:r w:rsidR="00CB01CD" w:rsidRPr="007A00D1">
        <w:rPr>
          <w:bCs/>
          <w:i/>
          <w:iCs/>
        </w:rPr>
        <w:t>State Farm v. Rice</w:t>
      </w:r>
      <w:r w:rsidR="00CB01CD">
        <w:rPr>
          <w:bCs/>
        </w:rPr>
        <w:t>, 239 Va. 646.</w:t>
      </w:r>
    </w:p>
    <w:p w14:paraId="60736061" w14:textId="66B39D17" w:rsidR="00D601C9" w:rsidRPr="00D601C9" w:rsidRDefault="00FC2690" w:rsidP="00D601C9">
      <w:pPr>
        <w:pStyle w:val="ListParagraph"/>
        <w:numPr>
          <w:ilvl w:val="0"/>
          <w:numId w:val="47"/>
        </w:numPr>
        <w:spacing w:before="95"/>
        <w:ind w:left="1170" w:hanging="450"/>
        <w:jc w:val="left"/>
        <w:rPr>
          <w:b/>
        </w:rPr>
      </w:pPr>
      <w:r>
        <w:rPr>
          <w:b/>
          <w:color w:val="231F20"/>
        </w:rPr>
        <w:t>Coverage</w:t>
      </w:r>
    </w:p>
    <w:p w14:paraId="07DC3538" w14:textId="0A5BA60C" w:rsidR="00D601C9" w:rsidRDefault="00D601C9" w:rsidP="00D601C9">
      <w:pPr>
        <w:spacing w:before="141" w:line="250" w:lineRule="exact"/>
        <w:ind w:left="720" w:right="180"/>
        <w:rPr>
          <w:color w:val="231F20"/>
        </w:rPr>
      </w:pPr>
      <w:r>
        <w:rPr>
          <w:color w:val="231F20"/>
        </w:rPr>
        <w:t>2022—</w:t>
      </w:r>
      <w:r>
        <w:rPr>
          <w:i/>
          <w:iCs/>
          <w:color w:val="231F20"/>
        </w:rPr>
        <w:t>GEICO v. Miles</w:t>
      </w:r>
      <w:r>
        <w:rPr>
          <w:color w:val="231F20"/>
        </w:rPr>
        <w:t>, 879 S.E.2d 908</w:t>
      </w:r>
    </w:p>
    <w:p w14:paraId="3A3D5E75" w14:textId="013238E1" w:rsidR="00D601C9" w:rsidRPr="00D50C60" w:rsidRDefault="00D601C9" w:rsidP="00D601C9">
      <w:pPr>
        <w:spacing w:before="141" w:line="250" w:lineRule="exact"/>
        <w:ind w:left="1440"/>
        <w:rPr>
          <w:color w:val="231F20"/>
        </w:rPr>
      </w:pPr>
      <w:r>
        <w:rPr>
          <w:color w:val="231F20"/>
        </w:rPr>
        <w:t xml:space="preserve">Uninsured motorist and underinsured motorist coverage is one fund money and carrier is not required to pay separate limits of liability for each under a single policy. </w:t>
      </w:r>
    </w:p>
    <w:p w14:paraId="2517AA8E" w14:textId="139E72B8" w:rsidR="00D50C60" w:rsidRDefault="00D50C60" w:rsidP="00D04B99">
      <w:pPr>
        <w:spacing w:before="141" w:line="250" w:lineRule="exact"/>
        <w:ind w:left="720" w:right="180"/>
        <w:rPr>
          <w:color w:val="231F20"/>
        </w:rPr>
      </w:pPr>
      <w:r>
        <w:rPr>
          <w:color w:val="231F20"/>
        </w:rPr>
        <w:t>2020—</w:t>
      </w:r>
      <w:r>
        <w:rPr>
          <w:i/>
          <w:iCs/>
          <w:color w:val="231F20"/>
        </w:rPr>
        <w:t>VACORP v. Young</w:t>
      </w:r>
      <w:r>
        <w:rPr>
          <w:color w:val="231F20"/>
        </w:rPr>
        <w:t>, 298 Va. 490, 840 S.E.2d 334</w:t>
      </w:r>
    </w:p>
    <w:p w14:paraId="43AE2074" w14:textId="5F1C6A6E" w:rsidR="00D50C60" w:rsidRPr="00D50C60" w:rsidRDefault="00D50C60" w:rsidP="007A00D1">
      <w:pPr>
        <w:spacing w:before="141" w:line="250" w:lineRule="exact"/>
        <w:ind w:left="1440" w:right="180"/>
        <w:rPr>
          <w:color w:val="231F20"/>
        </w:rPr>
      </w:pPr>
      <w:r>
        <w:rPr>
          <w:color w:val="231F20"/>
        </w:rPr>
        <w:t>VACORP’s position that coverage is capped at $50,000 for a series of technical reasons is rejected a</w:t>
      </w:r>
      <w:r w:rsidR="00E510B9">
        <w:rPr>
          <w:color w:val="231F20"/>
        </w:rPr>
        <w:t>n</w:t>
      </w:r>
      <w:r>
        <w:rPr>
          <w:color w:val="231F20"/>
        </w:rPr>
        <w:t xml:space="preserve">d the limits are as stated in the policy of $1 Million.  </w:t>
      </w:r>
    </w:p>
    <w:p w14:paraId="51B92DCB" w14:textId="2BB6F667" w:rsidR="009910CD" w:rsidRDefault="00FC2690" w:rsidP="00D04B99">
      <w:pPr>
        <w:spacing w:before="141" w:line="250" w:lineRule="exact"/>
        <w:ind w:left="720" w:right="180"/>
      </w:pPr>
      <w:r>
        <w:rPr>
          <w:color w:val="231F20"/>
        </w:rPr>
        <w:t>2009—</w:t>
      </w:r>
      <w:r>
        <w:rPr>
          <w:i/>
          <w:color w:val="231F20"/>
        </w:rPr>
        <w:t>Va. Farm Bureau Mut. Ins. Co. v. Williams</w:t>
      </w:r>
      <w:r>
        <w:rPr>
          <w:color w:val="231F20"/>
        </w:rPr>
        <w:t>, 278 Va. 75, 677 S.E.2d 299.</w:t>
      </w:r>
    </w:p>
    <w:p w14:paraId="481EA999" w14:textId="77777777" w:rsidR="009910CD" w:rsidRDefault="003448A3" w:rsidP="0013263C">
      <w:pPr>
        <w:pStyle w:val="BodyText"/>
        <w:spacing w:before="120" w:after="120"/>
        <w:ind w:left="1440"/>
        <w:jc w:val="both"/>
        <w:rPr>
          <w:color w:val="231F20"/>
        </w:rPr>
      </w:pPr>
      <w:r>
        <w:rPr>
          <w:color w:val="231F20"/>
        </w:rPr>
        <w:t>Supreme C</w:t>
      </w:r>
      <w:r w:rsidR="00FC2690">
        <w:rPr>
          <w:color w:val="231F20"/>
        </w:rPr>
        <w:t>ourt held that exclusion in policy that prohibited stacking was not applicable and that coverage for all three vehicles covered under the policy for which separate premiums were paid resulted in the uninsured motorist (UM) coverage being stacked for a total</w:t>
      </w:r>
      <w:r w:rsidR="00B64C57">
        <w:rPr>
          <w:color w:val="231F20"/>
        </w:rPr>
        <w:t xml:space="preserve"> </w:t>
      </w:r>
      <w:r w:rsidR="00FC2690">
        <w:rPr>
          <w:color w:val="231F20"/>
        </w:rPr>
        <w:t>of</w:t>
      </w:r>
      <w:r w:rsidR="00266D3B">
        <w:rPr>
          <w:color w:val="231F20"/>
        </w:rPr>
        <w:t xml:space="preserve"> </w:t>
      </w:r>
      <w:r w:rsidR="00FC2690">
        <w:rPr>
          <w:color w:val="231F20"/>
        </w:rPr>
        <w:t>$850,000.</w:t>
      </w:r>
    </w:p>
    <w:p w14:paraId="234C9C94" w14:textId="77777777" w:rsidR="009910CD" w:rsidRDefault="00FC2690" w:rsidP="00AF062B">
      <w:pPr>
        <w:pStyle w:val="Heading4"/>
        <w:numPr>
          <w:ilvl w:val="0"/>
          <w:numId w:val="47"/>
        </w:numPr>
        <w:spacing w:before="64"/>
        <w:ind w:left="1170" w:hanging="450"/>
        <w:jc w:val="left"/>
      </w:pPr>
      <w:r>
        <w:rPr>
          <w:color w:val="231F20"/>
        </w:rPr>
        <w:t>Defense of</w:t>
      </w:r>
      <w:r>
        <w:rPr>
          <w:color w:val="231F20"/>
          <w:spacing w:val="32"/>
        </w:rPr>
        <w:t xml:space="preserve"> </w:t>
      </w:r>
      <w:r>
        <w:rPr>
          <w:color w:val="231F20"/>
        </w:rPr>
        <w:t>Case</w:t>
      </w:r>
    </w:p>
    <w:p w14:paraId="4D1F9256" w14:textId="77777777" w:rsidR="00AC0E62" w:rsidRDefault="00AC0E62" w:rsidP="00D04B99">
      <w:pPr>
        <w:spacing w:before="125" w:line="246" w:lineRule="exact"/>
        <w:ind w:left="720"/>
      </w:pPr>
      <w:r>
        <w:rPr>
          <w:color w:val="231F20"/>
        </w:rPr>
        <w:t>2017—</w:t>
      </w:r>
      <w:r>
        <w:rPr>
          <w:i/>
          <w:color w:val="231F20"/>
        </w:rPr>
        <w:t>Manu v. GEICO</w:t>
      </w:r>
      <w:r>
        <w:rPr>
          <w:color w:val="231F20"/>
        </w:rPr>
        <w:t>, 293 Va. 371, 798 S.E.2d 598.</w:t>
      </w:r>
    </w:p>
    <w:p w14:paraId="4F3DCC67" w14:textId="77777777" w:rsidR="00AC0E62" w:rsidRPr="0013263C" w:rsidRDefault="006D3DE5" w:rsidP="0013263C">
      <w:pPr>
        <w:pStyle w:val="BodyText"/>
        <w:spacing w:before="120" w:after="120"/>
        <w:ind w:left="1440"/>
        <w:jc w:val="both"/>
        <w:rPr>
          <w:color w:val="231F20"/>
        </w:rPr>
      </w:pPr>
      <w:r>
        <w:rPr>
          <w:color w:val="231F20"/>
        </w:rPr>
        <w:t>Demurrer properly sustained where plaintiff alleges violation of good faith obligation to pay uninsured limits prior to the insured obtaining a judgment against the uninsured tortfeasor</w:t>
      </w:r>
      <w:r w:rsidR="00AC0E62">
        <w:rPr>
          <w:color w:val="231F20"/>
        </w:rPr>
        <w:t>.</w:t>
      </w:r>
    </w:p>
    <w:p w14:paraId="5BAA36B1" w14:textId="77777777" w:rsidR="009F430B" w:rsidRDefault="009F430B">
      <w:pPr>
        <w:rPr>
          <w:color w:val="231F20"/>
        </w:rPr>
      </w:pPr>
      <w:r>
        <w:rPr>
          <w:color w:val="231F20"/>
        </w:rPr>
        <w:br w:type="page"/>
      </w:r>
    </w:p>
    <w:p w14:paraId="10D7591F" w14:textId="2A42B1C2" w:rsidR="009910CD" w:rsidRDefault="00FC2690" w:rsidP="00D04B99">
      <w:pPr>
        <w:spacing w:before="125" w:line="246" w:lineRule="exact"/>
        <w:ind w:left="720"/>
      </w:pPr>
      <w:r>
        <w:rPr>
          <w:color w:val="231F20"/>
        </w:rPr>
        <w:lastRenderedPageBreak/>
        <w:t>2012—</w:t>
      </w:r>
      <w:r>
        <w:rPr>
          <w:i/>
          <w:color w:val="231F20"/>
        </w:rPr>
        <w:t>Transportation Insurance Company v.</w:t>
      </w:r>
      <w:r w:rsidR="00B64C57">
        <w:rPr>
          <w:i/>
          <w:color w:val="231F20"/>
        </w:rPr>
        <w:t xml:space="preserve"> </w:t>
      </w:r>
      <w:r>
        <w:rPr>
          <w:i/>
          <w:color w:val="231F20"/>
        </w:rPr>
        <w:t>Womack</w:t>
      </w:r>
      <w:r>
        <w:rPr>
          <w:color w:val="231F20"/>
        </w:rPr>
        <w:t>, 284 Va.</w:t>
      </w:r>
      <w:r w:rsidR="00B64C57">
        <w:rPr>
          <w:color w:val="231F20"/>
        </w:rPr>
        <w:t xml:space="preserve"> </w:t>
      </w:r>
      <w:r>
        <w:rPr>
          <w:color w:val="231F20"/>
        </w:rPr>
        <w:t>563, 733</w:t>
      </w:r>
      <w:r w:rsidR="00D04B99">
        <w:rPr>
          <w:color w:val="231F20"/>
        </w:rPr>
        <w:t xml:space="preserve"> </w:t>
      </w:r>
      <w:r>
        <w:rPr>
          <w:color w:val="231F20"/>
        </w:rPr>
        <w:t>S.E.2d 656.</w:t>
      </w:r>
    </w:p>
    <w:p w14:paraId="3082BB9A" w14:textId="73232A2E" w:rsidR="009910CD" w:rsidRDefault="00FC2690" w:rsidP="0013263C">
      <w:pPr>
        <w:pStyle w:val="BodyText"/>
        <w:spacing w:before="120" w:after="120"/>
        <w:ind w:left="1440"/>
        <w:jc w:val="both"/>
        <w:rPr>
          <w:color w:val="231F20"/>
        </w:rPr>
      </w:pPr>
      <w:r>
        <w:rPr>
          <w:color w:val="231F20"/>
        </w:rPr>
        <w:t>Trial court entry of summary ju</w:t>
      </w:r>
      <w:r w:rsidR="004871D1">
        <w:rPr>
          <w:color w:val="231F20"/>
        </w:rPr>
        <w:t>dgment against defendant is re</w:t>
      </w:r>
      <w:r>
        <w:rPr>
          <w:color w:val="231F20"/>
        </w:rPr>
        <w:t>versed. Case is remanded in order to allow uninsured motorist carrier to present defense as permitted by</w:t>
      </w:r>
      <w:r w:rsidR="00B64C57">
        <w:rPr>
          <w:color w:val="231F20"/>
        </w:rPr>
        <w:t xml:space="preserve"> </w:t>
      </w:r>
      <w:r>
        <w:rPr>
          <w:color w:val="231F20"/>
        </w:rPr>
        <w:t>Code.</w:t>
      </w:r>
    </w:p>
    <w:p w14:paraId="1780D51A" w14:textId="3BED59B6" w:rsidR="00D50C60" w:rsidRDefault="00B047FC" w:rsidP="00AF062B">
      <w:pPr>
        <w:pStyle w:val="Heading4"/>
        <w:tabs>
          <w:tab w:val="left" w:pos="2121"/>
          <w:tab w:val="left" w:pos="2122"/>
        </w:tabs>
        <w:spacing w:before="64"/>
        <w:ind w:left="1170" w:hanging="450"/>
        <w:rPr>
          <w:b w:val="0"/>
          <w:bCs w:val="0"/>
          <w:color w:val="231F20"/>
        </w:rPr>
      </w:pPr>
      <w:r>
        <w:rPr>
          <w:color w:val="231F20"/>
        </w:rPr>
        <w:t>[</w:t>
      </w:r>
      <w:r w:rsidR="00E510B9">
        <w:rPr>
          <w:color w:val="231F20"/>
        </w:rPr>
        <w:t>6</w:t>
      </w:r>
      <w:r w:rsidR="00DE5140">
        <w:rPr>
          <w:color w:val="231F20"/>
        </w:rPr>
        <w:t>]</w:t>
      </w:r>
      <w:r w:rsidR="00DE5140">
        <w:rPr>
          <w:color w:val="231F20"/>
        </w:rPr>
        <w:tab/>
      </w:r>
      <w:r>
        <w:rPr>
          <w:color w:val="231F20"/>
        </w:rPr>
        <w:t>Miscellaneous</w:t>
      </w:r>
    </w:p>
    <w:p w14:paraId="3AB199B5" w14:textId="3445E0CA" w:rsidR="00B047FC" w:rsidRDefault="00B047FC" w:rsidP="00B047FC">
      <w:pPr>
        <w:pStyle w:val="Heading4"/>
        <w:tabs>
          <w:tab w:val="left" w:pos="2121"/>
          <w:tab w:val="left" w:pos="2122"/>
        </w:tabs>
        <w:spacing w:before="125"/>
        <w:ind w:left="1440" w:hanging="720"/>
        <w:rPr>
          <w:b w:val="0"/>
          <w:bCs w:val="0"/>
          <w:color w:val="231F20"/>
        </w:rPr>
      </w:pPr>
      <w:r w:rsidRPr="00B047FC">
        <w:rPr>
          <w:b w:val="0"/>
          <w:bCs w:val="0"/>
          <w:color w:val="231F20"/>
        </w:rPr>
        <w:t>20</w:t>
      </w:r>
      <w:r w:rsidR="00B547C4">
        <w:rPr>
          <w:b w:val="0"/>
          <w:bCs w:val="0"/>
          <w:color w:val="231F20"/>
        </w:rPr>
        <w:t>23</w:t>
      </w:r>
      <w:r w:rsidRPr="007A00D1">
        <w:rPr>
          <w:b w:val="0"/>
          <w:bCs w:val="0"/>
          <w:color w:val="231F20"/>
        </w:rPr>
        <w:t>—</w:t>
      </w:r>
      <w:r w:rsidR="00B547C4">
        <w:rPr>
          <w:b w:val="0"/>
          <w:bCs w:val="0"/>
          <w:i/>
          <w:iCs/>
          <w:color w:val="231F20"/>
        </w:rPr>
        <w:t xml:space="preserve">Brown </w:t>
      </w:r>
      <w:r w:rsidRPr="007A00D1">
        <w:rPr>
          <w:b w:val="0"/>
          <w:bCs w:val="0"/>
          <w:i/>
          <w:iCs/>
          <w:color w:val="231F20"/>
        </w:rPr>
        <w:t xml:space="preserve">v. </w:t>
      </w:r>
      <w:r w:rsidR="00B547C4">
        <w:rPr>
          <w:b w:val="0"/>
          <w:bCs w:val="0"/>
          <w:i/>
          <w:iCs/>
          <w:color w:val="231F20"/>
        </w:rPr>
        <w:t>Kirkpatrick</w:t>
      </w:r>
      <w:r w:rsidRPr="007A00D1">
        <w:rPr>
          <w:b w:val="0"/>
          <w:bCs w:val="0"/>
          <w:color w:val="231F20"/>
        </w:rPr>
        <w:t xml:space="preserve">, </w:t>
      </w:r>
      <w:r w:rsidR="00B547C4">
        <w:rPr>
          <w:b w:val="0"/>
          <w:bCs w:val="0"/>
          <w:color w:val="231F20"/>
        </w:rPr>
        <w:t>79</w:t>
      </w:r>
      <w:r>
        <w:rPr>
          <w:b w:val="0"/>
          <w:bCs w:val="0"/>
          <w:color w:val="231F20"/>
        </w:rPr>
        <w:t xml:space="preserve"> Va. </w:t>
      </w:r>
      <w:r w:rsidR="00B547C4">
        <w:rPr>
          <w:b w:val="0"/>
          <w:bCs w:val="0"/>
          <w:color w:val="231F20"/>
        </w:rPr>
        <w:t>App. 252</w:t>
      </w:r>
      <w:r>
        <w:rPr>
          <w:b w:val="0"/>
          <w:bCs w:val="0"/>
          <w:color w:val="231F20"/>
        </w:rPr>
        <w:t>, 8</w:t>
      </w:r>
      <w:r w:rsidR="00B547C4">
        <w:rPr>
          <w:b w:val="0"/>
          <w:bCs w:val="0"/>
          <w:color w:val="231F20"/>
        </w:rPr>
        <w:t>95</w:t>
      </w:r>
      <w:r>
        <w:rPr>
          <w:b w:val="0"/>
          <w:bCs w:val="0"/>
          <w:color w:val="231F20"/>
        </w:rPr>
        <w:t xml:space="preserve"> S.E.2d </w:t>
      </w:r>
      <w:r w:rsidR="00B547C4">
        <w:rPr>
          <w:b w:val="0"/>
          <w:bCs w:val="0"/>
          <w:color w:val="231F20"/>
        </w:rPr>
        <w:t>788</w:t>
      </w:r>
    </w:p>
    <w:p w14:paraId="5982D759" w14:textId="63EB0B10" w:rsidR="00B047FC" w:rsidRDefault="00B547C4" w:rsidP="007A00D1">
      <w:pPr>
        <w:pStyle w:val="Heading4"/>
        <w:tabs>
          <w:tab w:val="left" w:pos="2121"/>
          <w:tab w:val="left" w:pos="2122"/>
        </w:tabs>
        <w:spacing w:before="125"/>
        <w:ind w:left="1440"/>
        <w:rPr>
          <w:b w:val="0"/>
          <w:bCs w:val="0"/>
        </w:rPr>
      </w:pPr>
      <w:r>
        <w:rPr>
          <w:b w:val="0"/>
          <w:bCs w:val="0"/>
        </w:rPr>
        <w:t xml:space="preserve">Plaintiff obtained judgment against defendant for auto crash. Judgment was satisfied in full from defendant’s liability policy and the balance paid by plaintiff’s UIM coverage. Plaintiff refused to mark the judgment as “satisfied”. UIM carrier waived subrogation against defendant. Judgment should have been marked as “satisfied”. </w:t>
      </w:r>
    </w:p>
    <w:p w14:paraId="2DDB5320" w14:textId="77777777" w:rsidR="00B547C4" w:rsidRDefault="00B547C4" w:rsidP="00B547C4">
      <w:pPr>
        <w:pStyle w:val="Heading4"/>
        <w:tabs>
          <w:tab w:val="left" w:pos="2121"/>
          <w:tab w:val="left" w:pos="2122"/>
        </w:tabs>
        <w:spacing w:before="125"/>
        <w:ind w:left="1440" w:hanging="720"/>
        <w:rPr>
          <w:b w:val="0"/>
          <w:bCs w:val="0"/>
          <w:color w:val="231F20"/>
        </w:rPr>
      </w:pPr>
      <w:r w:rsidRPr="00B047FC">
        <w:rPr>
          <w:b w:val="0"/>
          <w:bCs w:val="0"/>
          <w:color w:val="231F20"/>
        </w:rPr>
        <w:t>2019</w:t>
      </w:r>
      <w:r w:rsidRPr="007A00D1">
        <w:rPr>
          <w:b w:val="0"/>
          <w:bCs w:val="0"/>
          <w:color w:val="231F20"/>
        </w:rPr>
        <w:t>—</w:t>
      </w:r>
      <w:r w:rsidRPr="007A00D1">
        <w:rPr>
          <w:b w:val="0"/>
          <w:bCs w:val="0"/>
          <w:i/>
          <w:iCs/>
          <w:color w:val="231F20"/>
        </w:rPr>
        <w:t>Llewellyn v. White</w:t>
      </w:r>
      <w:r w:rsidRPr="007A00D1">
        <w:rPr>
          <w:b w:val="0"/>
          <w:bCs w:val="0"/>
          <w:color w:val="231F20"/>
        </w:rPr>
        <w:t xml:space="preserve">, </w:t>
      </w:r>
      <w:r>
        <w:rPr>
          <w:b w:val="0"/>
          <w:bCs w:val="0"/>
          <w:color w:val="231F20"/>
        </w:rPr>
        <w:t>297 Va. 588, 831 S.E.2d 494</w:t>
      </w:r>
    </w:p>
    <w:p w14:paraId="5210CFE9" w14:textId="77777777" w:rsidR="00B547C4" w:rsidRPr="007A00D1" w:rsidRDefault="00B547C4" w:rsidP="00B547C4">
      <w:pPr>
        <w:pStyle w:val="Heading4"/>
        <w:tabs>
          <w:tab w:val="left" w:pos="2121"/>
          <w:tab w:val="left" w:pos="2122"/>
        </w:tabs>
        <w:spacing w:before="125"/>
        <w:ind w:left="1440"/>
        <w:rPr>
          <w:b w:val="0"/>
          <w:bCs w:val="0"/>
        </w:rPr>
      </w:pPr>
      <w:r>
        <w:rPr>
          <w:b w:val="0"/>
          <w:bCs w:val="0"/>
        </w:rPr>
        <w:t>Plaintiff settled with UIM carrier.  Defendant is not entitled to credit under Va. Code § 8.01-35.1.</w:t>
      </w:r>
    </w:p>
    <w:p w14:paraId="6DDC75D5" w14:textId="77777777" w:rsidR="009D6788" w:rsidRDefault="009D6788" w:rsidP="00334C7C">
      <w:pPr>
        <w:pStyle w:val="Heading4"/>
        <w:tabs>
          <w:tab w:val="left" w:pos="720"/>
        </w:tabs>
        <w:spacing w:before="0" w:line="241" w:lineRule="exact"/>
        <w:ind w:left="0"/>
        <w:rPr>
          <w:color w:val="231F20"/>
        </w:rPr>
      </w:pPr>
    </w:p>
    <w:p w14:paraId="2263C569" w14:textId="0D5415FE" w:rsidR="009910CD" w:rsidRPr="00334C7C" w:rsidRDefault="00FC2690" w:rsidP="00334C7C">
      <w:pPr>
        <w:pStyle w:val="Heading4"/>
        <w:tabs>
          <w:tab w:val="left" w:pos="720"/>
        </w:tabs>
        <w:spacing w:before="0" w:line="241" w:lineRule="exact"/>
        <w:ind w:left="0"/>
        <w:rPr>
          <w:color w:val="231F20"/>
        </w:rPr>
      </w:pPr>
      <w:r>
        <w:rPr>
          <w:color w:val="231F20"/>
        </w:rPr>
        <w:t>§</w:t>
      </w:r>
      <w:r w:rsidRPr="00334C7C">
        <w:rPr>
          <w:color w:val="231F20"/>
        </w:rPr>
        <w:t xml:space="preserve"> </w:t>
      </w:r>
      <w:r>
        <w:rPr>
          <w:color w:val="231F20"/>
        </w:rPr>
        <w:t>20.20</w:t>
      </w:r>
      <w:r>
        <w:rPr>
          <w:color w:val="231F20"/>
        </w:rPr>
        <w:tab/>
        <w:t>Use of</w:t>
      </w:r>
      <w:r w:rsidRPr="00334C7C">
        <w:rPr>
          <w:color w:val="231F20"/>
        </w:rPr>
        <w:t xml:space="preserve"> Vehicle</w:t>
      </w:r>
    </w:p>
    <w:p w14:paraId="6899050A" w14:textId="77777777" w:rsidR="009910CD" w:rsidRDefault="00FC2690" w:rsidP="004871D1">
      <w:pPr>
        <w:spacing w:before="139" w:line="240" w:lineRule="exact"/>
        <w:ind w:left="720" w:right="821"/>
      </w:pPr>
      <w:r>
        <w:rPr>
          <w:color w:val="231F20"/>
        </w:rPr>
        <w:t>2010—</w:t>
      </w:r>
      <w:r>
        <w:rPr>
          <w:i/>
          <w:color w:val="231F20"/>
        </w:rPr>
        <w:t>Simpson v. Virginia Municipal Liability Poll</w:t>
      </w:r>
      <w:r>
        <w:rPr>
          <w:color w:val="231F20"/>
        </w:rPr>
        <w:t>, 279 Va. 694, 692 S.E.2d 244.</w:t>
      </w:r>
    </w:p>
    <w:p w14:paraId="51633DCD" w14:textId="77777777" w:rsidR="00DC715B" w:rsidRDefault="00FC2690" w:rsidP="00BF6613">
      <w:pPr>
        <w:pStyle w:val="BodyText"/>
        <w:spacing w:before="120" w:after="120"/>
        <w:ind w:left="1440"/>
        <w:jc w:val="both"/>
        <w:rPr>
          <w:color w:val="231F20"/>
        </w:rPr>
      </w:pPr>
      <w:r>
        <w:rPr>
          <w:color w:val="231F20"/>
        </w:rPr>
        <w:t>Deputy Sheriff who, in the attempting to take suspect into custody, left his vehicle and was tackled to the ground 10 feet away did not suffer injuries that arose out of the use or occupancy of the</w:t>
      </w:r>
      <w:r w:rsidR="00B64C57">
        <w:rPr>
          <w:color w:val="231F20"/>
        </w:rPr>
        <w:t xml:space="preserve"> </w:t>
      </w:r>
      <w:r>
        <w:rPr>
          <w:color w:val="231F20"/>
        </w:rPr>
        <w:t>vehicle.</w:t>
      </w:r>
      <w:r w:rsidR="00BF6613">
        <w:rPr>
          <w:color w:val="231F20"/>
        </w:rPr>
        <w:t xml:space="preserve"> </w:t>
      </w:r>
    </w:p>
    <w:p w14:paraId="6746D443" w14:textId="77777777" w:rsidR="00DC715B" w:rsidRDefault="00DC715B" w:rsidP="00DC715B">
      <w:pPr>
        <w:pStyle w:val="BodyText"/>
        <w:spacing w:before="65" w:line="247" w:lineRule="auto"/>
        <w:ind w:left="1765" w:right="1041"/>
        <w:jc w:val="both"/>
      </w:pPr>
    </w:p>
    <w:sectPr w:rsidR="00DC715B" w:rsidSect="00A3660B">
      <w:footerReference w:type="even" r:id="rId8"/>
      <w:footerReference w:type="default" r:id="rId9"/>
      <w:pgSz w:w="12240" w:h="15840"/>
      <w:pgMar w:top="1440" w:right="1440" w:bottom="1080" w:left="1440" w:header="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66390" w14:textId="77777777" w:rsidR="00FE39A8" w:rsidRDefault="00FE39A8">
      <w:r>
        <w:separator/>
      </w:r>
    </w:p>
  </w:endnote>
  <w:endnote w:type="continuationSeparator" w:id="0">
    <w:p w14:paraId="3050D1FE" w14:textId="77777777" w:rsidR="00FE39A8" w:rsidRDefault="00FE3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8450E" w14:textId="77777777" w:rsidR="00DF5F80" w:rsidRDefault="00DF5F8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8760651"/>
      <w:docPartObj>
        <w:docPartGallery w:val="Page Numbers (Bottom of Page)"/>
        <w:docPartUnique/>
      </w:docPartObj>
    </w:sdtPr>
    <w:sdtEndPr>
      <w:rPr>
        <w:noProof/>
      </w:rPr>
    </w:sdtEndPr>
    <w:sdtContent>
      <w:p w14:paraId="2ABBDC91" w14:textId="77777777" w:rsidR="00DF5F80" w:rsidRDefault="00DF5F80">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0409646C" w14:textId="77777777" w:rsidR="00DF5F80" w:rsidRDefault="00DF5F8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9F541" w14:textId="77777777" w:rsidR="00FE39A8" w:rsidRDefault="00FE39A8">
      <w:r>
        <w:separator/>
      </w:r>
    </w:p>
  </w:footnote>
  <w:footnote w:type="continuationSeparator" w:id="0">
    <w:p w14:paraId="3D53761A" w14:textId="77777777" w:rsidR="00FE39A8" w:rsidRDefault="00FE3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156D6"/>
    <w:multiLevelType w:val="hybridMultilevel"/>
    <w:tmpl w:val="41CA306A"/>
    <w:lvl w:ilvl="0" w:tplc="C52A578E">
      <w:start w:val="1"/>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34CE42F4">
      <w:numFmt w:val="bullet"/>
      <w:lvlText w:val="•"/>
      <w:lvlJc w:val="left"/>
      <w:pPr>
        <w:ind w:left="3400" w:hanging="1757"/>
      </w:pPr>
      <w:rPr>
        <w:rFonts w:hint="default"/>
      </w:rPr>
    </w:lvl>
    <w:lvl w:ilvl="2" w:tplc="DADE3868">
      <w:numFmt w:val="bullet"/>
      <w:lvlText w:val="•"/>
      <w:lvlJc w:val="left"/>
      <w:pPr>
        <w:ind w:left="4000" w:hanging="1757"/>
      </w:pPr>
      <w:rPr>
        <w:rFonts w:hint="default"/>
      </w:rPr>
    </w:lvl>
    <w:lvl w:ilvl="3" w:tplc="5CDE3864">
      <w:numFmt w:val="bullet"/>
      <w:lvlText w:val="•"/>
      <w:lvlJc w:val="left"/>
      <w:pPr>
        <w:ind w:left="4600" w:hanging="1757"/>
      </w:pPr>
      <w:rPr>
        <w:rFonts w:hint="default"/>
      </w:rPr>
    </w:lvl>
    <w:lvl w:ilvl="4" w:tplc="CCE4F708">
      <w:numFmt w:val="bullet"/>
      <w:lvlText w:val="•"/>
      <w:lvlJc w:val="left"/>
      <w:pPr>
        <w:ind w:left="5200" w:hanging="1757"/>
      </w:pPr>
      <w:rPr>
        <w:rFonts w:hint="default"/>
      </w:rPr>
    </w:lvl>
    <w:lvl w:ilvl="5" w:tplc="76646144">
      <w:numFmt w:val="bullet"/>
      <w:lvlText w:val="•"/>
      <w:lvlJc w:val="left"/>
      <w:pPr>
        <w:ind w:left="5800" w:hanging="1757"/>
      </w:pPr>
      <w:rPr>
        <w:rFonts w:hint="default"/>
      </w:rPr>
    </w:lvl>
    <w:lvl w:ilvl="6" w:tplc="FDDEC0D2">
      <w:numFmt w:val="bullet"/>
      <w:lvlText w:val="•"/>
      <w:lvlJc w:val="left"/>
      <w:pPr>
        <w:ind w:left="6400" w:hanging="1757"/>
      </w:pPr>
      <w:rPr>
        <w:rFonts w:hint="default"/>
      </w:rPr>
    </w:lvl>
    <w:lvl w:ilvl="7" w:tplc="D77EB68E">
      <w:numFmt w:val="bullet"/>
      <w:lvlText w:val="•"/>
      <w:lvlJc w:val="left"/>
      <w:pPr>
        <w:ind w:left="7000" w:hanging="1757"/>
      </w:pPr>
      <w:rPr>
        <w:rFonts w:hint="default"/>
      </w:rPr>
    </w:lvl>
    <w:lvl w:ilvl="8" w:tplc="15549BAC">
      <w:numFmt w:val="bullet"/>
      <w:lvlText w:val="•"/>
      <w:lvlJc w:val="left"/>
      <w:pPr>
        <w:ind w:left="7600" w:hanging="1757"/>
      </w:pPr>
      <w:rPr>
        <w:rFonts w:hint="default"/>
      </w:rPr>
    </w:lvl>
  </w:abstractNum>
  <w:abstractNum w:abstractNumId="1" w15:restartNumberingAfterBreak="0">
    <w:nsid w:val="050A0121"/>
    <w:multiLevelType w:val="hybridMultilevel"/>
    <w:tmpl w:val="FA38BC44"/>
    <w:lvl w:ilvl="0" w:tplc="09BAA436">
      <w:start w:val="3"/>
      <w:numFmt w:val="lowerLetter"/>
      <w:lvlText w:val="[%1]"/>
      <w:lvlJc w:val="left"/>
      <w:pPr>
        <w:ind w:left="2983" w:hanging="1757"/>
      </w:pPr>
      <w:rPr>
        <w:rFonts w:ascii="Times New Roman" w:eastAsia="Times New Roman" w:hAnsi="Times New Roman" w:cs="Times New Roman" w:hint="default"/>
        <w:color w:val="231F20"/>
        <w:w w:val="99"/>
        <w:sz w:val="20"/>
        <w:szCs w:val="20"/>
      </w:rPr>
    </w:lvl>
    <w:lvl w:ilvl="1" w:tplc="5772238C">
      <w:start w:val="3"/>
      <w:numFmt w:val="lowerLetter"/>
      <w:lvlText w:val="[%2]"/>
      <w:lvlJc w:val="left"/>
      <w:pPr>
        <w:ind w:left="2328" w:hanging="484"/>
      </w:pPr>
      <w:rPr>
        <w:rFonts w:ascii="Times New Roman" w:eastAsia="Times New Roman" w:hAnsi="Times New Roman" w:cs="Times New Roman" w:hint="default"/>
        <w:b/>
        <w:bCs/>
        <w:color w:val="231F20"/>
        <w:w w:val="99"/>
        <w:sz w:val="22"/>
        <w:szCs w:val="22"/>
      </w:rPr>
    </w:lvl>
    <w:lvl w:ilvl="2" w:tplc="321A8656">
      <w:numFmt w:val="bullet"/>
      <w:lvlText w:val="•"/>
      <w:lvlJc w:val="left"/>
      <w:pPr>
        <w:ind w:left="3626" w:hanging="484"/>
      </w:pPr>
      <w:rPr>
        <w:rFonts w:hint="default"/>
      </w:rPr>
    </w:lvl>
    <w:lvl w:ilvl="3" w:tplc="10FA9BC8">
      <w:numFmt w:val="bullet"/>
      <w:lvlText w:val="•"/>
      <w:lvlJc w:val="left"/>
      <w:pPr>
        <w:ind w:left="4273" w:hanging="484"/>
      </w:pPr>
      <w:rPr>
        <w:rFonts w:hint="default"/>
      </w:rPr>
    </w:lvl>
    <w:lvl w:ilvl="4" w:tplc="B0986CE0">
      <w:numFmt w:val="bullet"/>
      <w:lvlText w:val="•"/>
      <w:lvlJc w:val="left"/>
      <w:pPr>
        <w:ind w:left="4920" w:hanging="484"/>
      </w:pPr>
      <w:rPr>
        <w:rFonts w:hint="default"/>
      </w:rPr>
    </w:lvl>
    <w:lvl w:ilvl="5" w:tplc="388E0CCA">
      <w:numFmt w:val="bullet"/>
      <w:lvlText w:val="•"/>
      <w:lvlJc w:val="left"/>
      <w:pPr>
        <w:ind w:left="5566" w:hanging="484"/>
      </w:pPr>
      <w:rPr>
        <w:rFonts w:hint="default"/>
      </w:rPr>
    </w:lvl>
    <w:lvl w:ilvl="6" w:tplc="0E0AE3F2">
      <w:numFmt w:val="bullet"/>
      <w:lvlText w:val="•"/>
      <w:lvlJc w:val="left"/>
      <w:pPr>
        <w:ind w:left="6213" w:hanging="484"/>
      </w:pPr>
      <w:rPr>
        <w:rFonts w:hint="default"/>
      </w:rPr>
    </w:lvl>
    <w:lvl w:ilvl="7" w:tplc="395A7B0E">
      <w:numFmt w:val="bullet"/>
      <w:lvlText w:val="•"/>
      <w:lvlJc w:val="left"/>
      <w:pPr>
        <w:ind w:left="6860" w:hanging="484"/>
      </w:pPr>
      <w:rPr>
        <w:rFonts w:hint="default"/>
      </w:rPr>
    </w:lvl>
    <w:lvl w:ilvl="8" w:tplc="6C989D1A">
      <w:numFmt w:val="bullet"/>
      <w:lvlText w:val="•"/>
      <w:lvlJc w:val="left"/>
      <w:pPr>
        <w:ind w:left="7506" w:hanging="484"/>
      </w:pPr>
      <w:rPr>
        <w:rFonts w:hint="default"/>
      </w:rPr>
    </w:lvl>
  </w:abstractNum>
  <w:abstractNum w:abstractNumId="2" w15:restartNumberingAfterBreak="0">
    <w:nsid w:val="07904212"/>
    <w:multiLevelType w:val="hybridMultilevel"/>
    <w:tmpl w:val="78446972"/>
    <w:lvl w:ilvl="0" w:tplc="AF746D32">
      <w:start w:val="7"/>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844CE5"/>
    <w:multiLevelType w:val="hybridMultilevel"/>
    <w:tmpl w:val="685ABAF6"/>
    <w:lvl w:ilvl="0" w:tplc="F41A3230">
      <w:start w:val="4"/>
      <w:numFmt w:val="decimal"/>
      <w:lvlText w:val="[%1]"/>
      <w:lvlJc w:val="left"/>
      <w:pPr>
        <w:ind w:left="2121" w:hanging="496"/>
        <w:jc w:val="right"/>
      </w:pPr>
      <w:rPr>
        <w:rFonts w:ascii="Times New Roman" w:eastAsia="Times New Roman" w:hAnsi="Times New Roman" w:cs="Times New Roman" w:hint="default"/>
        <w:b/>
        <w:bCs/>
        <w:color w:val="231F20"/>
        <w:w w:val="99"/>
        <w:sz w:val="22"/>
        <w:szCs w:val="22"/>
      </w:rPr>
    </w:lvl>
    <w:lvl w:ilvl="1" w:tplc="CC4E51E8">
      <w:numFmt w:val="bullet"/>
      <w:lvlText w:val="•"/>
      <w:lvlJc w:val="left"/>
      <w:pPr>
        <w:ind w:left="2788" w:hanging="496"/>
      </w:pPr>
      <w:rPr>
        <w:rFonts w:hint="default"/>
      </w:rPr>
    </w:lvl>
    <w:lvl w:ilvl="2" w:tplc="852C7E78">
      <w:numFmt w:val="bullet"/>
      <w:lvlText w:val="•"/>
      <w:lvlJc w:val="left"/>
      <w:pPr>
        <w:ind w:left="3456" w:hanging="496"/>
      </w:pPr>
      <w:rPr>
        <w:rFonts w:hint="default"/>
      </w:rPr>
    </w:lvl>
    <w:lvl w:ilvl="3" w:tplc="1DD28086">
      <w:numFmt w:val="bullet"/>
      <w:lvlText w:val="•"/>
      <w:lvlJc w:val="left"/>
      <w:pPr>
        <w:ind w:left="4124" w:hanging="496"/>
      </w:pPr>
      <w:rPr>
        <w:rFonts w:hint="default"/>
      </w:rPr>
    </w:lvl>
    <w:lvl w:ilvl="4" w:tplc="1FFA0556">
      <w:numFmt w:val="bullet"/>
      <w:lvlText w:val="•"/>
      <w:lvlJc w:val="left"/>
      <w:pPr>
        <w:ind w:left="4792" w:hanging="496"/>
      </w:pPr>
      <w:rPr>
        <w:rFonts w:hint="default"/>
      </w:rPr>
    </w:lvl>
    <w:lvl w:ilvl="5" w:tplc="2F8EB554">
      <w:numFmt w:val="bullet"/>
      <w:lvlText w:val="•"/>
      <w:lvlJc w:val="left"/>
      <w:pPr>
        <w:ind w:left="5460" w:hanging="496"/>
      </w:pPr>
      <w:rPr>
        <w:rFonts w:hint="default"/>
      </w:rPr>
    </w:lvl>
    <w:lvl w:ilvl="6" w:tplc="0FBAD410">
      <w:numFmt w:val="bullet"/>
      <w:lvlText w:val="•"/>
      <w:lvlJc w:val="left"/>
      <w:pPr>
        <w:ind w:left="6128" w:hanging="496"/>
      </w:pPr>
      <w:rPr>
        <w:rFonts w:hint="default"/>
      </w:rPr>
    </w:lvl>
    <w:lvl w:ilvl="7" w:tplc="F1AC1CCA">
      <w:numFmt w:val="bullet"/>
      <w:lvlText w:val="•"/>
      <w:lvlJc w:val="left"/>
      <w:pPr>
        <w:ind w:left="6796" w:hanging="496"/>
      </w:pPr>
      <w:rPr>
        <w:rFonts w:hint="default"/>
      </w:rPr>
    </w:lvl>
    <w:lvl w:ilvl="8" w:tplc="C50C061A">
      <w:numFmt w:val="bullet"/>
      <w:lvlText w:val="•"/>
      <w:lvlJc w:val="left"/>
      <w:pPr>
        <w:ind w:left="7464" w:hanging="496"/>
      </w:pPr>
      <w:rPr>
        <w:rFonts w:hint="default"/>
      </w:rPr>
    </w:lvl>
  </w:abstractNum>
  <w:abstractNum w:abstractNumId="4" w15:restartNumberingAfterBreak="0">
    <w:nsid w:val="0C804A65"/>
    <w:multiLevelType w:val="hybridMultilevel"/>
    <w:tmpl w:val="978202D8"/>
    <w:lvl w:ilvl="0" w:tplc="643E235C">
      <w:start w:val="3"/>
      <w:numFmt w:val="decimal"/>
      <w:lvlText w:val="[%1]"/>
      <w:lvlJc w:val="left"/>
      <w:pPr>
        <w:ind w:left="2803" w:hanging="1757"/>
        <w:jc w:val="right"/>
      </w:pPr>
      <w:rPr>
        <w:rFonts w:ascii="Times New Roman" w:eastAsia="Times New Roman" w:hAnsi="Times New Roman" w:cs="Times New Roman" w:hint="default"/>
        <w:color w:val="231F20"/>
        <w:w w:val="99"/>
        <w:sz w:val="20"/>
        <w:szCs w:val="20"/>
      </w:rPr>
    </w:lvl>
    <w:lvl w:ilvl="1" w:tplc="F452A54A">
      <w:numFmt w:val="bullet"/>
      <w:lvlText w:val="•"/>
      <w:lvlJc w:val="left"/>
      <w:pPr>
        <w:ind w:left="3400" w:hanging="1757"/>
      </w:pPr>
      <w:rPr>
        <w:rFonts w:hint="default"/>
      </w:rPr>
    </w:lvl>
    <w:lvl w:ilvl="2" w:tplc="8BF6E00A">
      <w:numFmt w:val="bullet"/>
      <w:lvlText w:val="•"/>
      <w:lvlJc w:val="left"/>
      <w:pPr>
        <w:ind w:left="4000" w:hanging="1757"/>
      </w:pPr>
      <w:rPr>
        <w:rFonts w:hint="default"/>
      </w:rPr>
    </w:lvl>
    <w:lvl w:ilvl="3" w:tplc="72721502">
      <w:numFmt w:val="bullet"/>
      <w:lvlText w:val="•"/>
      <w:lvlJc w:val="left"/>
      <w:pPr>
        <w:ind w:left="4600" w:hanging="1757"/>
      </w:pPr>
      <w:rPr>
        <w:rFonts w:hint="default"/>
      </w:rPr>
    </w:lvl>
    <w:lvl w:ilvl="4" w:tplc="3D08DB46">
      <w:numFmt w:val="bullet"/>
      <w:lvlText w:val="•"/>
      <w:lvlJc w:val="left"/>
      <w:pPr>
        <w:ind w:left="5200" w:hanging="1757"/>
      </w:pPr>
      <w:rPr>
        <w:rFonts w:hint="default"/>
      </w:rPr>
    </w:lvl>
    <w:lvl w:ilvl="5" w:tplc="A4A038FE">
      <w:numFmt w:val="bullet"/>
      <w:lvlText w:val="•"/>
      <w:lvlJc w:val="left"/>
      <w:pPr>
        <w:ind w:left="5800" w:hanging="1757"/>
      </w:pPr>
      <w:rPr>
        <w:rFonts w:hint="default"/>
      </w:rPr>
    </w:lvl>
    <w:lvl w:ilvl="6" w:tplc="C5D87234">
      <w:numFmt w:val="bullet"/>
      <w:lvlText w:val="•"/>
      <w:lvlJc w:val="left"/>
      <w:pPr>
        <w:ind w:left="6400" w:hanging="1757"/>
      </w:pPr>
      <w:rPr>
        <w:rFonts w:hint="default"/>
      </w:rPr>
    </w:lvl>
    <w:lvl w:ilvl="7" w:tplc="A742FC3C">
      <w:numFmt w:val="bullet"/>
      <w:lvlText w:val="•"/>
      <w:lvlJc w:val="left"/>
      <w:pPr>
        <w:ind w:left="7000" w:hanging="1757"/>
      </w:pPr>
      <w:rPr>
        <w:rFonts w:hint="default"/>
      </w:rPr>
    </w:lvl>
    <w:lvl w:ilvl="8" w:tplc="2CC4E884">
      <w:numFmt w:val="bullet"/>
      <w:lvlText w:val="•"/>
      <w:lvlJc w:val="left"/>
      <w:pPr>
        <w:ind w:left="7600" w:hanging="1757"/>
      </w:pPr>
      <w:rPr>
        <w:rFonts w:hint="default"/>
      </w:rPr>
    </w:lvl>
  </w:abstractNum>
  <w:abstractNum w:abstractNumId="5" w15:restartNumberingAfterBreak="0">
    <w:nsid w:val="0C972DB7"/>
    <w:multiLevelType w:val="hybridMultilevel"/>
    <w:tmpl w:val="95520BBE"/>
    <w:lvl w:ilvl="0" w:tplc="D2AA833E">
      <w:start w:val="5"/>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DACE9A50">
      <w:start w:val="2"/>
      <w:numFmt w:val="lowerLetter"/>
      <w:lvlText w:val="[%2]"/>
      <w:lvlJc w:val="left"/>
      <w:pPr>
        <w:ind w:left="2983" w:hanging="1757"/>
      </w:pPr>
      <w:rPr>
        <w:rFonts w:ascii="Times New Roman" w:eastAsia="Times New Roman" w:hAnsi="Times New Roman" w:cs="Times New Roman" w:hint="default"/>
        <w:color w:val="231F20"/>
        <w:w w:val="99"/>
        <w:sz w:val="20"/>
        <w:szCs w:val="20"/>
      </w:rPr>
    </w:lvl>
    <w:lvl w:ilvl="2" w:tplc="D5522460">
      <w:start w:val="1"/>
      <w:numFmt w:val="decimal"/>
      <w:lvlText w:val="[%3]"/>
      <w:lvlJc w:val="left"/>
      <w:pPr>
        <w:ind w:left="3262" w:hanging="1757"/>
      </w:pPr>
      <w:rPr>
        <w:rFonts w:ascii="Times New Roman" w:eastAsia="Times New Roman" w:hAnsi="Times New Roman" w:cs="Times New Roman" w:hint="default"/>
        <w:color w:val="231F20"/>
        <w:w w:val="99"/>
        <w:sz w:val="20"/>
        <w:szCs w:val="20"/>
      </w:rPr>
    </w:lvl>
    <w:lvl w:ilvl="3" w:tplc="DB225482">
      <w:numFmt w:val="bullet"/>
      <w:lvlText w:val="•"/>
      <w:lvlJc w:val="left"/>
      <w:pPr>
        <w:ind w:left="3952" w:hanging="1757"/>
      </w:pPr>
      <w:rPr>
        <w:rFonts w:hint="default"/>
      </w:rPr>
    </w:lvl>
    <w:lvl w:ilvl="4" w:tplc="825EEAE8">
      <w:numFmt w:val="bullet"/>
      <w:lvlText w:val="•"/>
      <w:lvlJc w:val="left"/>
      <w:pPr>
        <w:ind w:left="4645" w:hanging="1757"/>
      </w:pPr>
      <w:rPr>
        <w:rFonts w:hint="default"/>
      </w:rPr>
    </w:lvl>
    <w:lvl w:ilvl="5" w:tplc="60C62260">
      <w:numFmt w:val="bullet"/>
      <w:lvlText w:val="•"/>
      <w:lvlJc w:val="left"/>
      <w:pPr>
        <w:ind w:left="5337" w:hanging="1757"/>
      </w:pPr>
      <w:rPr>
        <w:rFonts w:hint="default"/>
      </w:rPr>
    </w:lvl>
    <w:lvl w:ilvl="6" w:tplc="FEF0EF86">
      <w:numFmt w:val="bullet"/>
      <w:lvlText w:val="•"/>
      <w:lvlJc w:val="left"/>
      <w:pPr>
        <w:ind w:left="6030" w:hanging="1757"/>
      </w:pPr>
      <w:rPr>
        <w:rFonts w:hint="default"/>
      </w:rPr>
    </w:lvl>
    <w:lvl w:ilvl="7" w:tplc="7966AF94">
      <w:numFmt w:val="bullet"/>
      <w:lvlText w:val="•"/>
      <w:lvlJc w:val="left"/>
      <w:pPr>
        <w:ind w:left="6722" w:hanging="1757"/>
      </w:pPr>
      <w:rPr>
        <w:rFonts w:hint="default"/>
      </w:rPr>
    </w:lvl>
    <w:lvl w:ilvl="8" w:tplc="45D45266">
      <w:numFmt w:val="bullet"/>
      <w:lvlText w:val="•"/>
      <w:lvlJc w:val="left"/>
      <w:pPr>
        <w:ind w:left="7415" w:hanging="1757"/>
      </w:pPr>
      <w:rPr>
        <w:rFonts w:hint="default"/>
      </w:rPr>
    </w:lvl>
  </w:abstractNum>
  <w:abstractNum w:abstractNumId="6" w15:restartNumberingAfterBreak="0">
    <w:nsid w:val="0D120BEA"/>
    <w:multiLevelType w:val="hybridMultilevel"/>
    <w:tmpl w:val="A3081698"/>
    <w:lvl w:ilvl="0" w:tplc="F0B01FF4">
      <w:start w:val="4"/>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9744D2"/>
    <w:multiLevelType w:val="hybridMultilevel"/>
    <w:tmpl w:val="45647D5C"/>
    <w:lvl w:ilvl="0" w:tplc="D2F48BCE">
      <w:start w:val="1"/>
      <w:numFmt w:val="decimal"/>
      <w:lvlText w:val="[%1]"/>
      <w:lvlJc w:val="left"/>
      <w:pPr>
        <w:ind w:left="2121" w:hanging="496"/>
        <w:jc w:val="right"/>
      </w:pPr>
      <w:rPr>
        <w:rFonts w:ascii="Times New Roman" w:eastAsia="Times New Roman" w:hAnsi="Times New Roman" w:cs="Times New Roman" w:hint="default"/>
        <w:b/>
        <w:bCs/>
        <w:color w:val="231F20"/>
        <w:w w:val="99"/>
        <w:sz w:val="22"/>
        <w:szCs w:val="22"/>
      </w:rPr>
    </w:lvl>
    <w:lvl w:ilvl="1" w:tplc="E39A42E2">
      <w:numFmt w:val="bullet"/>
      <w:lvlText w:val="•"/>
      <w:lvlJc w:val="left"/>
      <w:pPr>
        <w:ind w:left="2788" w:hanging="496"/>
      </w:pPr>
      <w:rPr>
        <w:rFonts w:hint="default"/>
      </w:rPr>
    </w:lvl>
    <w:lvl w:ilvl="2" w:tplc="620A959E">
      <w:numFmt w:val="bullet"/>
      <w:lvlText w:val="•"/>
      <w:lvlJc w:val="left"/>
      <w:pPr>
        <w:ind w:left="3456" w:hanging="496"/>
      </w:pPr>
      <w:rPr>
        <w:rFonts w:hint="default"/>
      </w:rPr>
    </w:lvl>
    <w:lvl w:ilvl="3" w:tplc="6EC030BA">
      <w:numFmt w:val="bullet"/>
      <w:lvlText w:val="•"/>
      <w:lvlJc w:val="left"/>
      <w:pPr>
        <w:ind w:left="4124" w:hanging="496"/>
      </w:pPr>
      <w:rPr>
        <w:rFonts w:hint="default"/>
      </w:rPr>
    </w:lvl>
    <w:lvl w:ilvl="4" w:tplc="A54861C0">
      <w:numFmt w:val="bullet"/>
      <w:lvlText w:val="•"/>
      <w:lvlJc w:val="left"/>
      <w:pPr>
        <w:ind w:left="4792" w:hanging="496"/>
      </w:pPr>
      <w:rPr>
        <w:rFonts w:hint="default"/>
      </w:rPr>
    </w:lvl>
    <w:lvl w:ilvl="5" w:tplc="954E581A">
      <w:numFmt w:val="bullet"/>
      <w:lvlText w:val="•"/>
      <w:lvlJc w:val="left"/>
      <w:pPr>
        <w:ind w:left="5460" w:hanging="496"/>
      </w:pPr>
      <w:rPr>
        <w:rFonts w:hint="default"/>
      </w:rPr>
    </w:lvl>
    <w:lvl w:ilvl="6" w:tplc="431600BE">
      <w:numFmt w:val="bullet"/>
      <w:lvlText w:val="•"/>
      <w:lvlJc w:val="left"/>
      <w:pPr>
        <w:ind w:left="6128" w:hanging="496"/>
      </w:pPr>
      <w:rPr>
        <w:rFonts w:hint="default"/>
      </w:rPr>
    </w:lvl>
    <w:lvl w:ilvl="7" w:tplc="B226CAF2">
      <w:numFmt w:val="bullet"/>
      <w:lvlText w:val="•"/>
      <w:lvlJc w:val="left"/>
      <w:pPr>
        <w:ind w:left="6796" w:hanging="496"/>
      </w:pPr>
      <w:rPr>
        <w:rFonts w:hint="default"/>
      </w:rPr>
    </w:lvl>
    <w:lvl w:ilvl="8" w:tplc="31E6AA3C">
      <w:numFmt w:val="bullet"/>
      <w:lvlText w:val="•"/>
      <w:lvlJc w:val="left"/>
      <w:pPr>
        <w:ind w:left="7464" w:hanging="496"/>
      </w:pPr>
      <w:rPr>
        <w:rFonts w:hint="default"/>
      </w:rPr>
    </w:lvl>
  </w:abstractNum>
  <w:abstractNum w:abstractNumId="8" w15:restartNumberingAfterBreak="0">
    <w:nsid w:val="14390D4D"/>
    <w:multiLevelType w:val="hybridMultilevel"/>
    <w:tmpl w:val="DDA23B02"/>
    <w:lvl w:ilvl="0" w:tplc="42701C3A">
      <w:start w:val="4"/>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4C664816">
      <w:numFmt w:val="bullet"/>
      <w:lvlText w:val="•"/>
      <w:lvlJc w:val="left"/>
      <w:pPr>
        <w:ind w:left="2716" w:hanging="496"/>
      </w:pPr>
      <w:rPr>
        <w:rFonts w:hint="default"/>
      </w:rPr>
    </w:lvl>
    <w:lvl w:ilvl="2" w:tplc="051C5EF6">
      <w:numFmt w:val="bullet"/>
      <w:lvlText w:val="•"/>
      <w:lvlJc w:val="left"/>
      <w:pPr>
        <w:ind w:left="3392" w:hanging="496"/>
      </w:pPr>
      <w:rPr>
        <w:rFonts w:hint="default"/>
      </w:rPr>
    </w:lvl>
    <w:lvl w:ilvl="3" w:tplc="93302FD2">
      <w:numFmt w:val="bullet"/>
      <w:lvlText w:val="•"/>
      <w:lvlJc w:val="left"/>
      <w:pPr>
        <w:ind w:left="4068" w:hanging="496"/>
      </w:pPr>
      <w:rPr>
        <w:rFonts w:hint="default"/>
      </w:rPr>
    </w:lvl>
    <w:lvl w:ilvl="4" w:tplc="1C3A4AD8">
      <w:numFmt w:val="bullet"/>
      <w:lvlText w:val="•"/>
      <w:lvlJc w:val="left"/>
      <w:pPr>
        <w:ind w:left="4744" w:hanging="496"/>
      </w:pPr>
      <w:rPr>
        <w:rFonts w:hint="default"/>
      </w:rPr>
    </w:lvl>
    <w:lvl w:ilvl="5" w:tplc="CA06E176">
      <w:numFmt w:val="bullet"/>
      <w:lvlText w:val="•"/>
      <w:lvlJc w:val="left"/>
      <w:pPr>
        <w:ind w:left="5420" w:hanging="496"/>
      </w:pPr>
      <w:rPr>
        <w:rFonts w:hint="default"/>
      </w:rPr>
    </w:lvl>
    <w:lvl w:ilvl="6" w:tplc="E8E8A2C6">
      <w:numFmt w:val="bullet"/>
      <w:lvlText w:val="•"/>
      <w:lvlJc w:val="left"/>
      <w:pPr>
        <w:ind w:left="6096" w:hanging="496"/>
      </w:pPr>
      <w:rPr>
        <w:rFonts w:hint="default"/>
      </w:rPr>
    </w:lvl>
    <w:lvl w:ilvl="7" w:tplc="F8045586">
      <w:numFmt w:val="bullet"/>
      <w:lvlText w:val="•"/>
      <w:lvlJc w:val="left"/>
      <w:pPr>
        <w:ind w:left="6772" w:hanging="496"/>
      </w:pPr>
      <w:rPr>
        <w:rFonts w:hint="default"/>
      </w:rPr>
    </w:lvl>
    <w:lvl w:ilvl="8" w:tplc="746EFBF6">
      <w:numFmt w:val="bullet"/>
      <w:lvlText w:val="•"/>
      <w:lvlJc w:val="left"/>
      <w:pPr>
        <w:ind w:left="7448" w:hanging="496"/>
      </w:pPr>
      <w:rPr>
        <w:rFonts w:hint="default"/>
      </w:rPr>
    </w:lvl>
  </w:abstractNum>
  <w:abstractNum w:abstractNumId="9" w15:restartNumberingAfterBreak="0">
    <w:nsid w:val="14DA1A78"/>
    <w:multiLevelType w:val="hybridMultilevel"/>
    <w:tmpl w:val="74648AAE"/>
    <w:lvl w:ilvl="0" w:tplc="FFFFFFFF">
      <w:start w:val="2"/>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FC4B61"/>
    <w:multiLevelType w:val="hybridMultilevel"/>
    <w:tmpl w:val="08D2D818"/>
    <w:lvl w:ilvl="0" w:tplc="C6F899B6">
      <w:start w:val="5"/>
      <w:numFmt w:val="decimal"/>
      <w:lvlText w:val="[%1]"/>
      <w:lvlJc w:val="left"/>
      <w:pPr>
        <w:ind w:left="3262" w:hanging="1757"/>
      </w:pPr>
      <w:rPr>
        <w:rFonts w:ascii="Times New Roman" w:eastAsia="Times New Roman" w:hAnsi="Times New Roman" w:cs="Times New Roman" w:hint="default"/>
        <w:color w:val="231F20"/>
        <w:w w:val="99"/>
        <w:sz w:val="20"/>
        <w:szCs w:val="20"/>
      </w:rPr>
    </w:lvl>
    <w:lvl w:ilvl="1" w:tplc="7DA0F58A">
      <w:numFmt w:val="bullet"/>
      <w:lvlText w:val="•"/>
      <w:lvlJc w:val="left"/>
      <w:pPr>
        <w:ind w:left="3814" w:hanging="1757"/>
      </w:pPr>
      <w:rPr>
        <w:rFonts w:hint="default"/>
      </w:rPr>
    </w:lvl>
    <w:lvl w:ilvl="2" w:tplc="6B806890">
      <w:numFmt w:val="bullet"/>
      <w:lvlText w:val="•"/>
      <w:lvlJc w:val="left"/>
      <w:pPr>
        <w:ind w:left="4368" w:hanging="1757"/>
      </w:pPr>
      <w:rPr>
        <w:rFonts w:hint="default"/>
      </w:rPr>
    </w:lvl>
    <w:lvl w:ilvl="3" w:tplc="C82CFA00">
      <w:numFmt w:val="bullet"/>
      <w:lvlText w:val="•"/>
      <w:lvlJc w:val="left"/>
      <w:pPr>
        <w:ind w:left="4922" w:hanging="1757"/>
      </w:pPr>
      <w:rPr>
        <w:rFonts w:hint="default"/>
      </w:rPr>
    </w:lvl>
    <w:lvl w:ilvl="4" w:tplc="8A403C62">
      <w:numFmt w:val="bullet"/>
      <w:lvlText w:val="•"/>
      <w:lvlJc w:val="left"/>
      <w:pPr>
        <w:ind w:left="5476" w:hanging="1757"/>
      </w:pPr>
      <w:rPr>
        <w:rFonts w:hint="default"/>
      </w:rPr>
    </w:lvl>
    <w:lvl w:ilvl="5" w:tplc="F6AA6D92">
      <w:numFmt w:val="bullet"/>
      <w:lvlText w:val="•"/>
      <w:lvlJc w:val="left"/>
      <w:pPr>
        <w:ind w:left="6030" w:hanging="1757"/>
      </w:pPr>
      <w:rPr>
        <w:rFonts w:hint="default"/>
      </w:rPr>
    </w:lvl>
    <w:lvl w:ilvl="6" w:tplc="0E0C451C">
      <w:numFmt w:val="bullet"/>
      <w:lvlText w:val="•"/>
      <w:lvlJc w:val="left"/>
      <w:pPr>
        <w:ind w:left="6584" w:hanging="1757"/>
      </w:pPr>
      <w:rPr>
        <w:rFonts w:hint="default"/>
      </w:rPr>
    </w:lvl>
    <w:lvl w:ilvl="7" w:tplc="BDE80D4C">
      <w:numFmt w:val="bullet"/>
      <w:lvlText w:val="•"/>
      <w:lvlJc w:val="left"/>
      <w:pPr>
        <w:ind w:left="7138" w:hanging="1757"/>
      </w:pPr>
      <w:rPr>
        <w:rFonts w:hint="default"/>
      </w:rPr>
    </w:lvl>
    <w:lvl w:ilvl="8" w:tplc="94CA870C">
      <w:numFmt w:val="bullet"/>
      <w:lvlText w:val="•"/>
      <w:lvlJc w:val="left"/>
      <w:pPr>
        <w:ind w:left="7692" w:hanging="1757"/>
      </w:pPr>
      <w:rPr>
        <w:rFonts w:hint="default"/>
      </w:rPr>
    </w:lvl>
  </w:abstractNum>
  <w:abstractNum w:abstractNumId="11" w15:restartNumberingAfterBreak="0">
    <w:nsid w:val="186A3FDB"/>
    <w:multiLevelType w:val="hybridMultilevel"/>
    <w:tmpl w:val="D82471D2"/>
    <w:lvl w:ilvl="0" w:tplc="EBDE350C">
      <w:start w:val="4"/>
      <w:numFmt w:val="decimal"/>
      <w:lvlText w:val="[%1]"/>
      <w:lvlJc w:val="left"/>
      <w:pPr>
        <w:ind w:left="3262" w:hanging="1757"/>
      </w:pPr>
      <w:rPr>
        <w:rFonts w:ascii="Times New Roman" w:eastAsia="Times New Roman" w:hAnsi="Times New Roman" w:cs="Times New Roman" w:hint="default"/>
        <w:color w:val="231F20"/>
        <w:w w:val="99"/>
        <w:sz w:val="20"/>
        <w:szCs w:val="20"/>
      </w:rPr>
    </w:lvl>
    <w:lvl w:ilvl="1" w:tplc="574219B6">
      <w:numFmt w:val="bullet"/>
      <w:lvlText w:val="•"/>
      <w:lvlJc w:val="left"/>
      <w:pPr>
        <w:ind w:left="3814" w:hanging="1757"/>
      </w:pPr>
      <w:rPr>
        <w:rFonts w:hint="default"/>
      </w:rPr>
    </w:lvl>
    <w:lvl w:ilvl="2" w:tplc="C524A11A">
      <w:numFmt w:val="bullet"/>
      <w:lvlText w:val="•"/>
      <w:lvlJc w:val="left"/>
      <w:pPr>
        <w:ind w:left="4368" w:hanging="1757"/>
      </w:pPr>
      <w:rPr>
        <w:rFonts w:hint="default"/>
      </w:rPr>
    </w:lvl>
    <w:lvl w:ilvl="3" w:tplc="D3701282">
      <w:numFmt w:val="bullet"/>
      <w:lvlText w:val="•"/>
      <w:lvlJc w:val="left"/>
      <w:pPr>
        <w:ind w:left="4922" w:hanging="1757"/>
      </w:pPr>
      <w:rPr>
        <w:rFonts w:hint="default"/>
      </w:rPr>
    </w:lvl>
    <w:lvl w:ilvl="4" w:tplc="441C497E">
      <w:numFmt w:val="bullet"/>
      <w:lvlText w:val="•"/>
      <w:lvlJc w:val="left"/>
      <w:pPr>
        <w:ind w:left="5476" w:hanging="1757"/>
      </w:pPr>
      <w:rPr>
        <w:rFonts w:hint="default"/>
      </w:rPr>
    </w:lvl>
    <w:lvl w:ilvl="5" w:tplc="DC4E1F28">
      <w:numFmt w:val="bullet"/>
      <w:lvlText w:val="•"/>
      <w:lvlJc w:val="left"/>
      <w:pPr>
        <w:ind w:left="6030" w:hanging="1757"/>
      </w:pPr>
      <w:rPr>
        <w:rFonts w:hint="default"/>
      </w:rPr>
    </w:lvl>
    <w:lvl w:ilvl="6" w:tplc="A05EBCA6">
      <w:numFmt w:val="bullet"/>
      <w:lvlText w:val="•"/>
      <w:lvlJc w:val="left"/>
      <w:pPr>
        <w:ind w:left="6584" w:hanging="1757"/>
      </w:pPr>
      <w:rPr>
        <w:rFonts w:hint="default"/>
      </w:rPr>
    </w:lvl>
    <w:lvl w:ilvl="7" w:tplc="AC688980">
      <w:numFmt w:val="bullet"/>
      <w:lvlText w:val="•"/>
      <w:lvlJc w:val="left"/>
      <w:pPr>
        <w:ind w:left="7138" w:hanging="1757"/>
      </w:pPr>
      <w:rPr>
        <w:rFonts w:hint="default"/>
      </w:rPr>
    </w:lvl>
    <w:lvl w:ilvl="8" w:tplc="63D66882">
      <w:numFmt w:val="bullet"/>
      <w:lvlText w:val="•"/>
      <w:lvlJc w:val="left"/>
      <w:pPr>
        <w:ind w:left="7692" w:hanging="1757"/>
      </w:pPr>
      <w:rPr>
        <w:rFonts w:hint="default"/>
      </w:rPr>
    </w:lvl>
  </w:abstractNum>
  <w:abstractNum w:abstractNumId="12" w15:restartNumberingAfterBreak="0">
    <w:nsid w:val="1F857AD9"/>
    <w:multiLevelType w:val="hybridMultilevel"/>
    <w:tmpl w:val="35B0FF70"/>
    <w:lvl w:ilvl="0" w:tplc="2F36AB04">
      <w:start w:val="1"/>
      <w:numFmt w:val="decimal"/>
      <w:lvlText w:val="[%1]"/>
      <w:lvlJc w:val="left"/>
      <w:pPr>
        <w:ind w:left="2041" w:hanging="496"/>
        <w:jc w:val="right"/>
      </w:pPr>
      <w:rPr>
        <w:rFonts w:ascii="Times New Roman" w:eastAsia="Times New Roman" w:hAnsi="Times New Roman" w:cs="Times New Roman" w:hint="default"/>
        <w:b/>
        <w:bCs/>
        <w:color w:val="231F20"/>
        <w:w w:val="99"/>
        <w:sz w:val="22"/>
        <w:szCs w:val="22"/>
      </w:rPr>
    </w:lvl>
    <w:lvl w:ilvl="1" w:tplc="855CABE2">
      <w:numFmt w:val="bullet"/>
      <w:lvlText w:val="•"/>
      <w:lvlJc w:val="left"/>
      <w:pPr>
        <w:ind w:left="2716" w:hanging="496"/>
      </w:pPr>
      <w:rPr>
        <w:rFonts w:hint="default"/>
      </w:rPr>
    </w:lvl>
    <w:lvl w:ilvl="2" w:tplc="911E988A">
      <w:numFmt w:val="bullet"/>
      <w:lvlText w:val="•"/>
      <w:lvlJc w:val="left"/>
      <w:pPr>
        <w:ind w:left="3392" w:hanging="496"/>
      </w:pPr>
      <w:rPr>
        <w:rFonts w:hint="default"/>
      </w:rPr>
    </w:lvl>
    <w:lvl w:ilvl="3" w:tplc="5B3C7E24">
      <w:numFmt w:val="bullet"/>
      <w:lvlText w:val="•"/>
      <w:lvlJc w:val="left"/>
      <w:pPr>
        <w:ind w:left="4068" w:hanging="496"/>
      </w:pPr>
      <w:rPr>
        <w:rFonts w:hint="default"/>
      </w:rPr>
    </w:lvl>
    <w:lvl w:ilvl="4" w:tplc="BF743648">
      <w:numFmt w:val="bullet"/>
      <w:lvlText w:val="•"/>
      <w:lvlJc w:val="left"/>
      <w:pPr>
        <w:ind w:left="4744" w:hanging="496"/>
      </w:pPr>
      <w:rPr>
        <w:rFonts w:hint="default"/>
      </w:rPr>
    </w:lvl>
    <w:lvl w:ilvl="5" w:tplc="DD7C6810">
      <w:numFmt w:val="bullet"/>
      <w:lvlText w:val="•"/>
      <w:lvlJc w:val="left"/>
      <w:pPr>
        <w:ind w:left="5420" w:hanging="496"/>
      </w:pPr>
      <w:rPr>
        <w:rFonts w:hint="default"/>
      </w:rPr>
    </w:lvl>
    <w:lvl w:ilvl="6" w:tplc="B9D6B77E">
      <w:numFmt w:val="bullet"/>
      <w:lvlText w:val="•"/>
      <w:lvlJc w:val="left"/>
      <w:pPr>
        <w:ind w:left="6096" w:hanging="496"/>
      </w:pPr>
      <w:rPr>
        <w:rFonts w:hint="default"/>
      </w:rPr>
    </w:lvl>
    <w:lvl w:ilvl="7" w:tplc="F65E19B4">
      <w:numFmt w:val="bullet"/>
      <w:lvlText w:val="•"/>
      <w:lvlJc w:val="left"/>
      <w:pPr>
        <w:ind w:left="6772" w:hanging="496"/>
      </w:pPr>
      <w:rPr>
        <w:rFonts w:hint="default"/>
      </w:rPr>
    </w:lvl>
    <w:lvl w:ilvl="8" w:tplc="8244F146">
      <w:numFmt w:val="bullet"/>
      <w:lvlText w:val="•"/>
      <w:lvlJc w:val="left"/>
      <w:pPr>
        <w:ind w:left="7448" w:hanging="496"/>
      </w:pPr>
      <w:rPr>
        <w:rFonts w:hint="default"/>
      </w:rPr>
    </w:lvl>
  </w:abstractNum>
  <w:abstractNum w:abstractNumId="13" w15:restartNumberingAfterBreak="0">
    <w:nsid w:val="1F95511B"/>
    <w:multiLevelType w:val="hybridMultilevel"/>
    <w:tmpl w:val="68504E00"/>
    <w:lvl w:ilvl="0" w:tplc="DE8073A6">
      <w:start w:val="1"/>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335C19"/>
    <w:multiLevelType w:val="hybridMultilevel"/>
    <w:tmpl w:val="BFE406BC"/>
    <w:lvl w:ilvl="0" w:tplc="1B90D2C8">
      <w:start w:val="3"/>
      <w:numFmt w:val="decimal"/>
      <w:lvlText w:val="[%1]"/>
      <w:lvlJc w:val="left"/>
      <w:pPr>
        <w:ind w:left="2041" w:hanging="496"/>
        <w:jc w:val="right"/>
      </w:pPr>
      <w:rPr>
        <w:rFonts w:ascii="Times New Roman" w:eastAsia="Times New Roman" w:hAnsi="Times New Roman" w:cs="Times New Roman" w:hint="default"/>
        <w:b/>
        <w:bCs/>
        <w:color w:val="231F20"/>
        <w:w w:val="99"/>
        <w:sz w:val="22"/>
        <w:szCs w:val="22"/>
      </w:rPr>
    </w:lvl>
    <w:lvl w:ilvl="1" w:tplc="C6368958">
      <w:numFmt w:val="bullet"/>
      <w:lvlText w:val="•"/>
      <w:lvlJc w:val="left"/>
      <w:pPr>
        <w:ind w:left="2716" w:hanging="496"/>
      </w:pPr>
      <w:rPr>
        <w:rFonts w:hint="default"/>
      </w:rPr>
    </w:lvl>
    <w:lvl w:ilvl="2" w:tplc="5906BB46">
      <w:numFmt w:val="bullet"/>
      <w:lvlText w:val="•"/>
      <w:lvlJc w:val="left"/>
      <w:pPr>
        <w:ind w:left="3392" w:hanging="496"/>
      </w:pPr>
      <w:rPr>
        <w:rFonts w:hint="default"/>
      </w:rPr>
    </w:lvl>
    <w:lvl w:ilvl="3" w:tplc="20A48FFA">
      <w:numFmt w:val="bullet"/>
      <w:lvlText w:val="•"/>
      <w:lvlJc w:val="left"/>
      <w:pPr>
        <w:ind w:left="4068" w:hanging="496"/>
      </w:pPr>
      <w:rPr>
        <w:rFonts w:hint="default"/>
      </w:rPr>
    </w:lvl>
    <w:lvl w:ilvl="4" w:tplc="11D6A294">
      <w:numFmt w:val="bullet"/>
      <w:lvlText w:val="•"/>
      <w:lvlJc w:val="left"/>
      <w:pPr>
        <w:ind w:left="4744" w:hanging="496"/>
      </w:pPr>
      <w:rPr>
        <w:rFonts w:hint="default"/>
      </w:rPr>
    </w:lvl>
    <w:lvl w:ilvl="5" w:tplc="A524FA7E">
      <w:numFmt w:val="bullet"/>
      <w:lvlText w:val="•"/>
      <w:lvlJc w:val="left"/>
      <w:pPr>
        <w:ind w:left="5420" w:hanging="496"/>
      </w:pPr>
      <w:rPr>
        <w:rFonts w:hint="default"/>
      </w:rPr>
    </w:lvl>
    <w:lvl w:ilvl="6" w:tplc="590C9F0A">
      <w:numFmt w:val="bullet"/>
      <w:lvlText w:val="•"/>
      <w:lvlJc w:val="left"/>
      <w:pPr>
        <w:ind w:left="6096" w:hanging="496"/>
      </w:pPr>
      <w:rPr>
        <w:rFonts w:hint="default"/>
      </w:rPr>
    </w:lvl>
    <w:lvl w:ilvl="7" w:tplc="CC50CEC8">
      <w:numFmt w:val="bullet"/>
      <w:lvlText w:val="•"/>
      <w:lvlJc w:val="left"/>
      <w:pPr>
        <w:ind w:left="6772" w:hanging="496"/>
      </w:pPr>
      <w:rPr>
        <w:rFonts w:hint="default"/>
      </w:rPr>
    </w:lvl>
    <w:lvl w:ilvl="8" w:tplc="5E72A81E">
      <w:numFmt w:val="bullet"/>
      <w:lvlText w:val="•"/>
      <w:lvlJc w:val="left"/>
      <w:pPr>
        <w:ind w:left="7448" w:hanging="496"/>
      </w:pPr>
      <w:rPr>
        <w:rFonts w:hint="default"/>
      </w:rPr>
    </w:lvl>
  </w:abstractNum>
  <w:abstractNum w:abstractNumId="15" w15:restartNumberingAfterBreak="0">
    <w:nsid w:val="214D50A0"/>
    <w:multiLevelType w:val="hybridMultilevel"/>
    <w:tmpl w:val="BB843EFC"/>
    <w:lvl w:ilvl="0" w:tplc="69E6344A">
      <w:start w:val="2"/>
      <w:numFmt w:val="decimal"/>
      <w:lvlText w:val="[%1]"/>
      <w:lvlJc w:val="left"/>
      <w:pPr>
        <w:ind w:left="1306" w:hanging="496"/>
      </w:pPr>
      <w:rPr>
        <w:rFonts w:ascii="Times New Roman" w:eastAsia="Times New Roman" w:hAnsi="Times New Roman" w:cs="Times New Roman" w:hint="default"/>
        <w:b/>
        <w:bCs/>
        <w:color w:val="231F2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243BFC"/>
    <w:multiLevelType w:val="hybridMultilevel"/>
    <w:tmpl w:val="CFBE4024"/>
    <w:lvl w:ilvl="0" w:tplc="1124F9C2">
      <w:start w:val="1"/>
      <w:numFmt w:val="decimal"/>
      <w:lvlText w:val="[%1]"/>
      <w:lvlJc w:val="left"/>
      <w:pPr>
        <w:ind w:left="2041" w:hanging="496"/>
        <w:jc w:val="right"/>
      </w:pPr>
      <w:rPr>
        <w:rFonts w:ascii="Times New Roman" w:eastAsia="Times New Roman" w:hAnsi="Times New Roman" w:cs="Times New Roman" w:hint="default"/>
        <w:b/>
        <w:bCs/>
        <w:color w:val="231F20"/>
        <w:w w:val="99"/>
        <w:sz w:val="22"/>
        <w:szCs w:val="22"/>
      </w:rPr>
    </w:lvl>
    <w:lvl w:ilvl="1" w:tplc="0DF82D62">
      <w:numFmt w:val="bullet"/>
      <w:lvlText w:val="•"/>
      <w:lvlJc w:val="left"/>
      <w:pPr>
        <w:ind w:left="2716" w:hanging="496"/>
      </w:pPr>
      <w:rPr>
        <w:rFonts w:hint="default"/>
      </w:rPr>
    </w:lvl>
    <w:lvl w:ilvl="2" w:tplc="5EB4AF54">
      <w:numFmt w:val="bullet"/>
      <w:lvlText w:val="•"/>
      <w:lvlJc w:val="left"/>
      <w:pPr>
        <w:ind w:left="3392" w:hanging="496"/>
      </w:pPr>
      <w:rPr>
        <w:rFonts w:hint="default"/>
      </w:rPr>
    </w:lvl>
    <w:lvl w:ilvl="3" w:tplc="9C3AE220">
      <w:numFmt w:val="bullet"/>
      <w:lvlText w:val="•"/>
      <w:lvlJc w:val="left"/>
      <w:pPr>
        <w:ind w:left="4068" w:hanging="496"/>
      </w:pPr>
      <w:rPr>
        <w:rFonts w:hint="default"/>
      </w:rPr>
    </w:lvl>
    <w:lvl w:ilvl="4" w:tplc="770475FE">
      <w:numFmt w:val="bullet"/>
      <w:lvlText w:val="•"/>
      <w:lvlJc w:val="left"/>
      <w:pPr>
        <w:ind w:left="4744" w:hanging="496"/>
      </w:pPr>
      <w:rPr>
        <w:rFonts w:hint="default"/>
      </w:rPr>
    </w:lvl>
    <w:lvl w:ilvl="5" w:tplc="2C4E2BAE">
      <w:numFmt w:val="bullet"/>
      <w:lvlText w:val="•"/>
      <w:lvlJc w:val="left"/>
      <w:pPr>
        <w:ind w:left="5420" w:hanging="496"/>
      </w:pPr>
      <w:rPr>
        <w:rFonts w:hint="default"/>
      </w:rPr>
    </w:lvl>
    <w:lvl w:ilvl="6" w:tplc="31B449A6">
      <w:numFmt w:val="bullet"/>
      <w:lvlText w:val="•"/>
      <w:lvlJc w:val="left"/>
      <w:pPr>
        <w:ind w:left="6096" w:hanging="496"/>
      </w:pPr>
      <w:rPr>
        <w:rFonts w:hint="default"/>
      </w:rPr>
    </w:lvl>
    <w:lvl w:ilvl="7" w:tplc="D51AE6CE">
      <w:numFmt w:val="bullet"/>
      <w:lvlText w:val="•"/>
      <w:lvlJc w:val="left"/>
      <w:pPr>
        <w:ind w:left="6772" w:hanging="496"/>
      </w:pPr>
      <w:rPr>
        <w:rFonts w:hint="default"/>
      </w:rPr>
    </w:lvl>
    <w:lvl w:ilvl="8" w:tplc="0C32487A">
      <w:numFmt w:val="bullet"/>
      <w:lvlText w:val="•"/>
      <w:lvlJc w:val="left"/>
      <w:pPr>
        <w:ind w:left="7448" w:hanging="496"/>
      </w:pPr>
      <w:rPr>
        <w:rFonts w:hint="default"/>
      </w:rPr>
    </w:lvl>
  </w:abstractNum>
  <w:abstractNum w:abstractNumId="17" w15:restartNumberingAfterBreak="0">
    <w:nsid w:val="24D374B3"/>
    <w:multiLevelType w:val="hybridMultilevel"/>
    <w:tmpl w:val="AD80B382"/>
    <w:lvl w:ilvl="0" w:tplc="EF0681E2">
      <w:start w:val="2"/>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6406A822">
      <w:start w:val="1"/>
      <w:numFmt w:val="decimal"/>
      <w:lvlText w:val="[%2]"/>
      <w:lvlJc w:val="left"/>
      <w:pPr>
        <w:ind w:left="3262" w:hanging="1757"/>
      </w:pPr>
      <w:rPr>
        <w:rFonts w:ascii="Times New Roman" w:eastAsia="Times New Roman" w:hAnsi="Times New Roman" w:cs="Times New Roman" w:hint="default"/>
        <w:color w:val="231F20"/>
        <w:w w:val="99"/>
        <w:sz w:val="20"/>
        <w:szCs w:val="20"/>
      </w:rPr>
    </w:lvl>
    <w:lvl w:ilvl="2" w:tplc="9BBE4DCC">
      <w:numFmt w:val="bullet"/>
      <w:lvlText w:val="•"/>
      <w:lvlJc w:val="left"/>
      <w:pPr>
        <w:ind w:left="3875" w:hanging="1757"/>
      </w:pPr>
      <w:rPr>
        <w:rFonts w:hint="default"/>
      </w:rPr>
    </w:lvl>
    <w:lvl w:ilvl="3" w:tplc="1EA87DB8">
      <w:numFmt w:val="bullet"/>
      <w:lvlText w:val="•"/>
      <w:lvlJc w:val="left"/>
      <w:pPr>
        <w:ind w:left="4491" w:hanging="1757"/>
      </w:pPr>
      <w:rPr>
        <w:rFonts w:hint="default"/>
      </w:rPr>
    </w:lvl>
    <w:lvl w:ilvl="4" w:tplc="6F4E9430">
      <w:numFmt w:val="bullet"/>
      <w:lvlText w:val="•"/>
      <w:lvlJc w:val="left"/>
      <w:pPr>
        <w:ind w:left="5106" w:hanging="1757"/>
      </w:pPr>
      <w:rPr>
        <w:rFonts w:hint="default"/>
      </w:rPr>
    </w:lvl>
    <w:lvl w:ilvl="5" w:tplc="936AF1DE">
      <w:numFmt w:val="bullet"/>
      <w:lvlText w:val="•"/>
      <w:lvlJc w:val="left"/>
      <w:pPr>
        <w:ind w:left="5722" w:hanging="1757"/>
      </w:pPr>
      <w:rPr>
        <w:rFonts w:hint="default"/>
      </w:rPr>
    </w:lvl>
    <w:lvl w:ilvl="6" w:tplc="8AD6BECC">
      <w:numFmt w:val="bullet"/>
      <w:lvlText w:val="•"/>
      <w:lvlJc w:val="left"/>
      <w:pPr>
        <w:ind w:left="6337" w:hanging="1757"/>
      </w:pPr>
      <w:rPr>
        <w:rFonts w:hint="default"/>
      </w:rPr>
    </w:lvl>
    <w:lvl w:ilvl="7" w:tplc="3F7E1512">
      <w:numFmt w:val="bullet"/>
      <w:lvlText w:val="•"/>
      <w:lvlJc w:val="left"/>
      <w:pPr>
        <w:ind w:left="6953" w:hanging="1757"/>
      </w:pPr>
      <w:rPr>
        <w:rFonts w:hint="default"/>
      </w:rPr>
    </w:lvl>
    <w:lvl w:ilvl="8" w:tplc="AD6C8E8C">
      <w:numFmt w:val="bullet"/>
      <w:lvlText w:val="•"/>
      <w:lvlJc w:val="left"/>
      <w:pPr>
        <w:ind w:left="7568" w:hanging="1757"/>
      </w:pPr>
      <w:rPr>
        <w:rFonts w:hint="default"/>
      </w:rPr>
    </w:lvl>
  </w:abstractNum>
  <w:abstractNum w:abstractNumId="18" w15:restartNumberingAfterBreak="0">
    <w:nsid w:val="27FA66A8"/>
    <w:multiLevelType w:val="hybridMultilevel"/>
    <w:tmpl w:val="B3007ADE"/>
    <w:lvl w:ilvl="0" w:tplc="F730B0DE">
      <w:start w:val="1"/>
      <w:numFmt w:val="decimal"/>
      <w:lvlText w:val="[%1]"/>
      <w:lvlJc w:val="left"/>
      <w:pPr>
        <w:ind w:left="2121" w:hanging="496"/>
        <w:jc w:val="right"/>
      </w:pPr>
      <w:rPr>
        <w:rFonts w:ascii="Times New Roman" w:eastAsia="Times New Roman" w:hAnsi="Times New Roman" w:cs="Times New Roman" w:hint="default"/>
        <w:b/>
        <w:bCs/>
        <w:color w:val="231F20"/>
        <w:w w:val="99"/>
        <w:sz w:val="22"/>
        <w:szCs w:val="22"/>
      </w:rPr>
    </w:lvl>
    <w:lvl w:ilvl="1" w:tplc="E39A42E2">
      <w:numFmt w:val="bullet"/>
      <w:lvlText w:val="•"/>
      <w:lvlJc w:val="left"/>
      <w:pPr>
        <w:ind w:left="2788" w:hanging="496"/>
      </w:pPr>
      <w:rPr>
        <w:rFonts w:hint="default"/>
      </w:rPr>
    </w:lvl>
    <w:lvl w:ilvl="2" w:tplc="620A959E">
      <w:numFmt w:val="bullet"/>
      <w:lvlText w:val="•"/>
      <w:lvlJc w:val="left"/>
      <w:pPr>
        <w:ind w:left="3456" w:hanging="496"/>
      </w:pPr>
      <w:rPr>
        <w:rFonts w:hint="default"/>
      </w:rPr>
    </w:lvl>
    <w:lvl w:ilvl="3" w:tplc="6EC030BA">
      <w:numFmt w:val="bullet"/>
      <w:lvlText w:val="•"/>
      <w:lvlJc w:val="left"/>
      <w:pPr>
        <w:ind w:left="4124" w:hanging="496"/>
      </w:pPr>
      <w:rPr>
        <w:rFonts w:hint="default"/>
      </w:rPr>
    </w:lvl>
    <w:lvl w:ilvl="4" w:tplc="A54861C0">
      <w:numFmt w:val="bullet"/>
      <w:lvlText w:val="•"/>
      <w:lvlJc w:val="left"/>
      <w:pPr>
        <w:ind w:left="4792" w:hanging="496"/>
      </w:pPr>
      <w:rPr>
        <w:rFonts w:hint="default"/>
      </w:rPr>
    </w:lvl>
    <w:lvl w:ilvl="5" w:tplc="954E581A">
      <w:numFmt w:val="bullet"/>
      <w:lvlText w:val="•"/>
      <w:lvlJc w:val="left"/>
      <w:pPr>
        <w:ind w:left="5460" w:hanging="496"/>
      </w:pPr>
      <w:rPr>
        <w:rFonts w:hint="default"/>
      </w:rPr>
    </w:lvl>
    <w:lvl w:ilvl="6" w:tplc="431600BE">
      <w:numFmt w:val="bullet"/>
      <w:lvlText w:val="•"/>
      <w:lvlJc w:val="left"/>
      <w:pPr>
        <w:ind w:left="6128" w:hanging="496"/>
      </w:pPr>
      <w:rPr>
        <w:rFonts w:hint="default"/>
      </w:rPr>
    </w:lvl>
    <w:lvl w:ilvl="7" w:tplc="B226CAF2">
      <w:numFmt w:val="bullet"/>
      <w:lvlText w:val="•"/>
      <w:lvlJc w:val="left"/>
      <w:pPr>
        <w:ind w:left="6796" w:hanging="496"/>
      </w:pPr>
      <w:rPr>
        <w:rFonts w:hint="default"/>
      </w:rPr>
    </w:lvl>
    <w:lvl w:ilvl="8" w:tplc="31E6AA3C">
      <w:numFmt w:val="bullet"/>
      <w:lvlText w:val="•"/>
      <w:lvlJc w:val="left"/>
      <w:pPr>
        <w:ind w:left="7464" w:hanging="496"/>
      </w:pPr>
      <w:rPr>
        <w:rFonts w:hint="default"/>
      </w:rPr>
    </w:lvl>
  </w:abstractNum>
  <w:abstractNum w:abstractNumId="19" w15:restartNumberingAfterBreak="0">
    <w:nsid w:val="280F71B8"/>
    <w:multiLevelType w:val="hybridMultilevel"/>
    <w:tmpl w:val="DFF8DF94"/>
    <w:lvl w:ilvl="0" w:tplc="F1EC8D46">
      <w:start w:val="3"/>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474A7860">
      <w:start w:val="1"/>
      <w:numFmt w:val="lowerLetter"/>
      <w:lvlText w:val="[%2]"/>
      <w:lvlJc w:val="left"/>
      <w:pPr>
        <w:ind w:left="2261" w:hanging="496"/>
      </w:pPr>
      <w:rPr>
        <w:rFonts w:ascii="Times New Roman" w:eastAsia="Times New Roman" w:hAnsi="Times New Roman" w:cs="Times New Roman" w:hint="default"/>
        <w:b/>
        <w:bCs/>
        <w:color w:val="231F20"/>
        <w:w w:val="99"/>
        <w:sz w:val="22"/>
        <w:szCs w:val="22"/>
      </w:rPr>
    </w:lvl>
    <w:lvl w:ilvl="2" w:tplc="5BB23A62">
      <w:numFmt w:val="bullet"/>
      <w:lvlText w:val="•"/>
      <w:lvlJc w:val="left"/>
      <w:pPr>
        <w:ind w:left="2986" w:hanging="496"/>
      </w:pPr>
      <w:rPr>
        <w:rFonts w:hint="default"/>
      </w:rPr>
    </w:lvl>
    <w:lvl w:ilvl="3" w:tplc="43687BBE">
      <w:numFmt w:val="bullet"/>
      <w:lvlText w:val="•"/>
      <w:lvlJc w:val="left"/>
      <w:pPr>
        <w:ind w:left="3713" w:hanging="496"/>
      </w:pPr>
      <w:rPr>
        <w:rFonts w:hint="default"/>
      </w:rPr>
    </w:lvl>
    <w:lvl w:ilvl="4" w:tplc="BBA8AB5A">
      <w:numFmt w:val="bullet"/>
      <w:lvlText w:val="•"/>
      <w:lvlJc w:val="left"/>
      <w:pPr>
        <w:ind w:left="4440" w:hanging="496"/>
      </w:pPr>
      <w:rPr>
        <w:rFonts w:hint="default"/>
      </w:rPr>
    </w:lvl>
    <w:lvl w:ilvl="5" w:tplc="30EADC0C">
      <w:numFmt w:val="bullet"/>
      <w:lvlText w:val="•"/>
      <w:lvlJc w:val="left"/>
      <w:pPr>
        <w:ind w:left="5166" w:hanging="496"/>
      </w:pPr>
      <w:rPr>
        <w:rFonts w:hint="default"/>
      </w:rPr>
    </w:lvl>
    <w:lvl w:ilvl="6" w:tplc="77B24F3C">
      <w:numFmt w:val="bullet"/>
      <w:lvlText w:val="•"/>
      <w:lvlJc w:val="left"/>
      <w:pPr>
        <w:ind w:left="5893" w:hanging="496"/>
      </w:pPr>
      <w:rPr>
        <w:rFonts w:hint="default"/>
      </w:rPr>
    </w:lvl>
    <w:lvl w:ilvl="7" w:tplc="06DC66E0">
      <w:numFmt w:val="bullet"/>
      <w:lvlText w:val="•"/>
      <w:lvlJc w:val="left"/>
      <w:pPr>
        <w:ind w:left="6620" w:hanging="496"/>
      </w:pPr>
      <w:rPr>
        <w:rFonts w:hint="default"/>
      </w:rPr>
    </w:lvl>
    <w:lvl w:ilvl="8" w:tplc="314A716E">
      <w:numFmt w:val="bullet"/>
      <w:lvlText w:val="•"/>
      <w:lvlJc w:val="left"/>
      <w:pPr>
        <w:ind w:left="7346" w:hanging="496"/>
      </w:pPr>
      <w:rPr>
        <w:rFonts w:hint="default"/>
      </w:rPr>
    </w:lvl>
  </w:abstractNum>
  <w:abstractNum w:abstractNumId="20" w15:restartNumberingAfterBreak="0">
    <w:nsid w:val="28A927EC"/>
    <w:multiLevelType w:val="hybridMultilevel"/>
    <w:tmpl w:val="A19C4DBE"/>
    <w:lvl w:ilvl="0" w:tplc="5F8A9DB2">
      <w:start w:val="1"/>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491810"/>
    <w:multiLevelType w:val="multilevel"/>
    <w:tmpl w:val="85DCF02C"/>
    <w:lvl w:ilvl="0">
      <w:start w:val="19"/>
      <w:numFmt w:val="upperLetter"/>
      <w:lvlText w:val="%1"/>
      <w:lvlJc w:val="left"/>
      <w:pPr>
        <w:ind w:left="1693" w:hanging="367"/>
      </w:pPr>
      <w:rPr>
        <w:rFonts w:hint="default"/>
      </w:rPr>
    </w:lvl>
    <w:lvl w:ilvl="1">
      <w:start w:val="5"/>
      <w:numFmt w:val="upperLetter"/>
      <w:lvlText w:val="%1.%2."/>
      <w:lvlJc w:val="left"/>
      <w:pPr>
        <w:ind w:left="1693" w:hanging="367"/>
      </w:pPr>
      <w:rPr>
        <w:rFonts w:ascii="Times New Roman" w:eastAsia="Times New Roman" w:hAnsi="Times New Roman" w:cs="Times New Roman" w:hint="default"/>
        <w:color w:val="231F20"/>
        <w:w w:val="99"/>
        <w:sz w:val="22"/>
        <w:szCs w:val="22"/>
      </w:rPr>
    </w:lvl>
    <w:lvl w:ilvl="2">
      <w:start w:val="1"/>
      <w:numFmt w:val="decimal"/>
      <w:lvlText w:val="[%3]"/>
      <w:lvlJc w:val="left"/>
      <w:pPr>
        <w:ind w:left="2041" w:hanging="496"/>
        <w:jc w:val="right"/>
      </w:pPr>
      <w:rPr>
        <w:rFonts w:ascii="Times New Roman" w:eastAsia="Times New Roman" w:hAnsi="Times New Roman" w:cs="Times New Roman" w:hint="default"/>
        <w:b/>
        <w:bCs/>
        <w:color w:val="231F20"/>
        <w:w w:val="99"/>
        <w:sz w:val="22"/>
        <w:szCs w:val="22"/>
      </w:rPr>
    </w:lvl>
    <w:lvl w:ilvl="3">
      <w:numFmt w:val="bullet"/>
      <w:lvlText w:val="•"/>
      <w:lvlJc w:val="left"/>
      <w:pPr>
        <w:ind w:left="3542" w:hanging="496"/>
      </w:pPr>
      <w:rPr>
        <w:rFonts w:hint="default"/>
      </w:rPr>
    </w:lvl>
    <w:lvl w:ilvl="4">
      <w:numFmt w:val="bullet"/>
      <w:lvlText w:val="•"/>
      <w:lvlJc w:val="left"/>
      <w:pPr>
        <w:ind w:left="4293" w:hanging="496"/>
      </w:pPr>
      <w:rPr>
        <w:rFonts w:hint="default"/>
      </w:rPr>
    </w:lvl>
    <w:lvl w:ilvl="5">
      <w:numFmt w:val="bullet"/>
      <w:lvlText w:val="•"/>
      <w:lvlJc w:val="left"/>
      <w:pPr>
        <w:ind w:left="5044" w:hanging="496"/>
      </w:pPr>
      <w:rPr>
        <w:rFonts w:hint="default"/>
      </w:rPr>
    </w:lvl>
    <w:lvl w:ilvl="6">
      <w:numFmt w:val="bullet"/>
      <w:lvlText w:val="•"/>
      <w:lvlJc w:val="left"/>
      <w:pPr>
        <w:ind w:left="5795" w:hanging="496"/>
      </w:pPr>
      <w:rPr>
        <w:rFonts w:hint="default"/>
      </w:rPr>
    </w:lvl>
    <w:lvl w:ilvl="7">
      <w:numFmt w:val="bullet"/>
      <w:lvlText w:val="•"/>
      <w:lvlJc w:val="left"/>
      <w:pPr>
        <w:ind w:left="6546" w:hanging="496"/>
      </w:pPr>
      <w:rPr>
        <w:rFonts w:hint="default"/>
      </w:rPr>
    </w:lvl>
    <w:lvl w:ilvl="8">
      <w:numFmt w:val="bullet"/>
      <w:lvlText w:val="•"/>
      <w:lvlJc w:val="left"/>
      <w:pPr>
        <w:ind w:left="7297" w:hanging="496"/>
      </w:pPr>
      <w:rPr>
        <w:rFonts w:hint="default"/>
      </w:rPr>
    </w:lvl>
  </w:abstractNum>
  <w:abstractNum w:abstractNumId="22" w15:restartNumberingAfterBreak="0">
    <w:nsid w:val="2AC924A3"/>
    <w:multiLevelType w:val="hybridMultilevel"/>
    <w:tmpl w:val="67E8CBD8"/>
    <w:lvl w:ilvl="0" w:tplc="F572DE44">
      <w:start w:val="3"/>
      <w:numFmt w:val="decimal"/>
      <w:lvlText w:val="[%1]"/>
      <w:lvlJc w:val="left"/>
      <w:pPr>
        <w:ind w:left="1542" w:hanging="496"/>
      </w:pPr>
      <w:rPr>
        <w:rFonts w:ascii="Times New Roman" w:eastAsia="Times New Roman" w:hAnsi="Times New Roman" w:cs="Times New Roman" w:hint="default"/>
        <w:b/>
        <w:bCs/>
        <w:color w:val="231F2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A759E4"/>
    <w:multiLevelType w:val="hybridMultilevel"/>
    <w:tmpl w:val="AC6E7A88"/>
    <w:lvl w:ilvl="0" w:tplc="B63CC154">
      <w:start w:val="2"/>
      <w:numFmt w:val="decimal"/>
      <w:lvlText w:val="[%1]"/>
      <w:lvlJc w:val="left"/>
      <w:pPr>
        <w:ind w:left="2121" w:hanging="496"/>
      </w:pPr>
      <w:rPr>
        <w:rFonts w:ascii="Times New Roman" w:eastAsia="Times New Roman" w:hAnsi="Times New Roman" w:cs="Times New Roman" w:hint="default"/>
        <w:b/>
        <w:bCs/>
        <w:color w:val="231F2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905482"/>
    <w:multiLevelType w:val="hybridMultilevel"/>
    <w:tmpl w:val="8938C4B0"/>
    <w:lvl w:ilvl="0" w:tplc="27F2C7B0">
      <w:start w:val="4"/>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5D40CE12">
      <w:numFmt w:val="bullet"/>
      <w:lvlText w:val="•"/>
      <w:lvlJc w:val="left"/>
      <w:pPr>
        <w:ind w:left="3400" w:hanging="1757"/>
      </w:pPr>
      <w:rPr>
        <w:rFonts w:hint="default"/>
      </w:rPr>
    </w:lvl>
    <w:lvl w:ilvl="2" w:tplc="45A64642">
      <w:numFmt w:val="bullet"/>
      <w:lvlText w:val="•"/>
      <w:lvlJc w:val="left"/>
      <w:pPr>
        <w:ind w:left="4000" w:hanging="1757"/>
      </w:pPr>
      <w:rPr>
        <w:rFonts w:hint="default"/>
      </w:rPr>
    </w:lvl>
    <w:lvl w:ilvl="3" w:tplc="C120A4E6">
      <w:numFmt w:val="bullet"/>
      <w:lvlText w:val="•"/>
      <w:lvlJc w:val="left"/>
      <w:pPr>
        <w:ind w:left="4600" w:hanging="1757"/>
      </w:pPr>
      <w:rPr>
        <w:rFonts w:hint="default"/>
      </w:rPr>
    </w:lvl>
    <w:lvl w:ilvl="4" w:tplc="84EA8662">
      <w:numFmt w:val="bullet"/>
      <w:lvlText w:val="•"/>
      <w:lvlJc w:val="left"/>
      <w:pPr>
        <w:ind w:left="5200" w:hanging="1757"/>
      </w:pPr>
      <w:rPr>
        <w:rFonts w:hint="default"/>
      </w:rPr>
    </w:lvl>
    <w:lvl w:ilvl="5" w:tplc="E63AF504">
      <w:numFmt w:val="bullet"/>
      <w:lvlText w:val="•"/>
      <w:lvlJc w:val="left"/>
      <w:pPr>
        <w:ind w:left="5800" w:hanging="1757"/>
      </w:pPr>
      <w:rPr>
        <w:rFonts w:hint="default"/>
      </w:rPr>
    </w:lvl>
    <w:lvl w:ilvl="6" w:tplc="20FCAC30">
      <w:numFmt w:val="bullet"/>
      <w:lvlText w:val="•"/>
      <w:lvlJc w:val="left"/>
      <w:pPr>
        <w:ind w:left="6400" w:hanging="1757"/>
      </w:pPr>
      <w:rPr>
        <w:rFonts w:hint="default"/>
      </w:rPr>
    </w:lvl>
    <w:lvl w:ilvl="7" w:tplc="5C4EA788">
      <w:numFmt w:val="bullet"/>
      <w:lvlText w:val="•"/>
      <w:lvlJc w:val="left"/>
      <w:pPr>
        <w:ind w:left="7000" w:hanging="1757"/>
      </w:pPr>
      <w:rPr>
        <w:rFonts w:hint="default"/>
      </w:rPr>
    </w:lvl>
    <w:lvl w:ilvl="8" w:tplc="86A04126">
      <w:numFmt w:val="bullet"/>
      <w:lvlText w:val="•"/>
      <w:lvlJc w:val="left"/>
      <w:pPr>
        <w:ind w:left="7600" w:hanging="1757"/>
      </w:pPr>
      <w:rPr>
        <w:rFonts w:hint="default"/>
      </w:rPr>
    </w:lvl>
  </w:abstractNum>
  <w:abstractNum w:abstractNumId="25" w15:restartNumberingAfterBreak="0">
    <w:nsid w:val="37C375C8"/>
    <w:multiLevelType w:val="hybridMultilevel"/>
    <w:tmpl w:val="A5007970"/>
    <w:lvl w:ilvl="0" w:tplc="49628B20">
      <w:start w:val="3"/>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F4146A26">
      <w:start w:val="1"/>
      <w:numFmt w:val="lowerLetter"/>
      <w:lvlText w:val="[%2]"/>
      <w:lvlJc w:val="left"/>
      <w:pPr>
        <w:ind w:left="2983" w:hanging="1757"/>
      </w:pPr>
      <w:rPr>
        <w:rFonts w:ascii="Times New Roman" w:eastAsia="Times New Roman" w:hAnsi="Times New Roman" w:cs="Times New Roman" w:hint="default"/>
        <w:color w:val="231F20"/>
        <w:w w:val="99"/>
        <w:sz w:val="20"/>
        <w:szCs w:val="20"/>
      </w:rPr>
    </w:lvl>
    <w:lvl w:ilvl="2" w:tplc="D6121C60">
      <w:numFmt w:val="bullet"/>
      <w:lvlText w:val="•"/>
      <w:lvlJc w:val="left"/>
      <w:pPr>
        <w:ind w:left="3626" w:hanging="1757"/>
      </w:pPr>
      <w:rPr>
        <w:rFonts w:hint="default"/>
      </w:rPr>
    </w:lvl>
    <w:lvl w:ilvl="3" w:tplc="EFDEC2AC">
      <w:numFmt w:val="bullet"/>
      <w:lvlText w:val="•"/>
      <w:lvlJc w:val="left"/>
      <w:pPr>
        <w:ind w:left="4273" w:hanging="1757"/>
      </w:pPr>
      <w:rPr>
        <w:rFonts w:hint="default"/>
      </w:rPr>
    </w:lvl>
    <w:lvl w:ilvl="4" w:tplc="B186F146">
      <w:numFmt w:val="bullet"/>
      <w:lvlText w:val="•"/>
      <w:lvlJc w:val="left"/>
      <w:pPr>
        <w:ind w:left="4920" w:hanging="1757"/>
      </w:pPr>
      <w:rPr>
        <w:rFonts w:hint="default"/>
      </w:rPr>
    </w:lvl>
    <w:lvl w:ilvl="5" w:tplc="C2409764">
      <w:numFmt w:val="bullet"/>
      <w:lvlText w:val="•"/>
      <w:lvlJc w:val="left"/>
      <w:pPr>
        <w:ind w:left="5566" w:hanging="1757"/>
      </w:pPr>
      <w:rPr>
        <w:rFonts w:hint="default"/>
      </w:rPr>
    </w:lvl>
    <w:lvl w:ilvl="6" w:tplc="649AF0E2">
      <w:numFmt w:val="bullet"/>
      <w:lvlText w:val="•"/>
      <w:lvlJc w:val="left"/>
      <w:pPr>
        <w:ind w:left="6213" w:hanging="1757"/>
      </w:pPr>
      <w:rPr>
        <w:rFonts w:hint="default"/>
      </w:rPr>
    </w:lvl>
    <w:lvl w:ilvl="7" w:tplc="8E82A460">
      <w:numFmt w:val="bullet"/>
      <w:lvlText w:val="•"/>
      <w:lvlJc w:val="left"/>
      <w:pPr>
        <w:ind w:left="6860" w:hanging="1757"/>
      </w:pPr>
      <w:rPr>
        <w:rFonts w:hint="default"/>
      </w:rPr>
    </w:lvl>
    <w:lvl w:ilvl="8" w:tplc="8952B2B0">
      <w:numFmt w:val="bullet"/>
      <w:lvlText w:val="•"/>
      <w:lvlJc w:val="left"/>
      <w:pPr>
        <w:ind w:left="7506" w:hanging="1757"/>
      </w:pPr>
      <w:rPr>
        <w:rFonts w:hint="default"/>
      </w:rPr>
    </w:lvl>
  </w:abstractNum>
  <w:abstractNum w:abstractNumId="26" w15:restartNumberingAfterBreak="0">
    <w:nsid w:val="3A4E0932"/>
    <w:multiLevelType w:val="multilevel"/>
    <w:tmpl w:val="5136FFF6"/>
    <w:lvl w:ilvl="0">
      <w:start w:val="19"/>
      <w:numFmt w:val="upperLetter"/>
      <w:lvlText w:val="%1"/>
      <w:lvlJc w:val="left"/>
      <w:pPr>
        <w:ind w:left="1693" w:hanging="367"/>
      </w:pPr>
      <w:rPr>
        <w:rFonts w:hint="default"/>
      </w:rPr>
    </w:lvl>
    <w:lvl w:ilvl="1">
      <w:start w:val="5"/>
      <w:numFmt w:val="upperLetter"/>
      <w:lvlText w:val="%1.%2."/>
      <w:lvlJc w:val="left"/>
      <w:pPr>
        <w:ind w:left="1693" w:hanging="367"/>
      </w:pPr>
      <w:rPr>
        <w:rFonts w:ascii="Times New Roman" w:eastAsia="Times New Roman" w:hAnsi="Times New Roman" w:cs="Times New Roman" w:hint="default"/>
        <w:color w:val="231F20"/>
        <w:w w:val="99"/>
        <w:sz w:val="22"/>
        <w:szCs w:val="22"/>
      </w:rPr>
    </w:lvl>
    <w:lvl w:ilvl="2">
      <w:start w:val="1"/>
      <w:numFmt w:val="decimal"/>
      <w:lvlText w:val="[%3]"/>
      <w:lvlJc w:val="left"/>
      <w:pPr>
        <w:ind w:left="2121" w:hanging="496"/>
      </w:pPr>
      <w:rPr>
        <w:rFonts w:ascii="Times New Roman" w:eastAsia="Times New Roman" w:hAnsi="Times New Roman" w:cs="Times New Roman" w:hint="default"/>
        <w:b/>
        <w:bCs/>
        <w:color w:val="231F20"/>
        <w:w w:val="99"/>
        <w:sz w:val="22"/>
        <w:szCs w:val="22"/>
      </w:rPr>
    </w:lvl>
    <w:lvl w:ilvl="3">
      <w:numFmt w:val="bullet"/>
      <w:lvlText w:val="•"/>
      <w:lvlJc w:val="left"/>
      <w:pPr>
        <w:ind w:left="3604" w:hanging="496"/>
      </w:pPr>
      <w:rPr>
        <w:rFonts w:hint="default"/>
      </w:rPr>
    </w:lvl>
    <w:lvl w:ilvl="4">
      <w:numFmt w:val="bullet"/>
      <w:lvlText w:val="•"/>
      <w:lvlJc w:val="left"/>
      <w:pPr>
        <w:ind w:left="4346" w:hanging="496"/>
      </w:pPr>
      <w:rPr>
        <w:rFonts w:hint="default"/>
      </w:rPr>
    </w:lvl>
    <w:lvl w:ilvl="5">
      <w:numFmt w:val="bullet"/>
      <w:lvlText w:val="•"/>
      <w:lvlJc w:val="left"/>
      <w:pPr>
        <w:ind w:left="5088" w:hanging="496"/>
      </w:pPr>
      <w:rPr>
        <w:rFonts w:hint="default"/>
      </w:rPr>
    </w:lvl>
    <w:lvl w:ilvl="6">
      <w:numFmt w:val="bullet"/>
      <w:lvlText w:val="•"/>
      <w:lvlJc w:val="left"/>
      <w:pPr>
        <w:ind w:left="5831" w:hanging="496"/>
      </w:pPr>
      <w:rPr>
        <w:rFonts w:hint="default"/>
      </w:rPr>
    </w:lvl>
    <w:lvl w:ilvl="7">
      <w:numFmt w:val="bullet"/>
      <w:lvlText w:val="•"/>
      <w:lvlJc w:val="left"/>
      <w:pPr>
        <w:ind w:left="6573" w:hanging="496"/>
      </w:pPr>
      <w:rPr>
        <w:rFonts w:hint="default"/>
      </w:rPr>
    </w:lvl>
    <w:lvl w:ilvl="8">
      <w:numFmt w:val="bullet"/>
      <w:lvlText w:val="•"/>
      <w:lvlJc w:val="left"/>
      <w:pPr>
        <w:ind w:left="7315" w:hanging="496"/>
      </w:pPr>
      <w:rPr>
        <w:rFonts w:hint="default"/>
      </w:rPr>
    </w:lvl>
  </w:abstractNum>
  <w:abstractNum w:abstractNumId="27" w15:restartNumberingAfterBreak="0">
    <w:nsid w:val="3CAD74FC"/>
    <w:multiLevelType w:val="hybridMultilevel"/>
    <w:tmpl w:val="E6862C48"/>
    <w:lvl w:ilvl="0" w:tplc="3AD8FB40">
      <w:start w:val="2"/>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805DA7"/>
    <w:multiLevelType w:val="hybridMultilevel"/>
    <w:tmpl w:val="21AC22FA"/>
    <w:lvl w:ilvl="0" w:tplc="570AAFA8">
      <w:start w:val="4"/>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313E95BC">
      <w:numFmt w:val="bullet"/>
      <w:lvlText w:val="•"/>
      <w:lvlJc w:val="left"/>
      <w:pPr>
        <w:ind w:left="3400" w:hanging="1757"/>
      </w:pPr>
      <w:rPr>
        <w:rFonts w:hint="default"/>
      </w:rPr>
    </w:lvl>
    <w:lvl w:ilvl="2" w:tplc="E2243EDC">
      <w:numFmt w:val="bullet"/>
      <w:lvlText w:val="•"/>
      <w:lvlJc w:val="left"/>
      <w:pPr>
        <w:ind w:left="4000" w:hanging="1757"/>
      </w:pPr>
      <w:rPr>
        <w:rFonts w:hint="default"/>
      </w:rPr>
    </w:lvl>
    <w:lvl w:ilvl="3" w:tplc="13921130">
      <w:numFmt w:val="bullet"/>
      <w:lvlText w:val="•"/>
      <w:lvlJc w:val="left"/>
      <w:pPr>
        <w:ind w:left="4600" w:hanging="1757"/>
      </w:pPr>
      <w:rPr>
        <w:rFonts w:hint="default"/>
      </w:rPr>
    </w:lvl>
    <w:lvl w:ilvl="4" w:tplc="CEF6587A">
      <w:numFmt w:val="bullet"/>
      <w:lvlText w:val="•"/>
      <w:lvlJc w:val="left"/>
      <w:pPr>
        <w:ind w:left="5200" w:hanging="1757"/>
      </w:pPr>
      <w:rPr>
        <w:rFonts w:hint="default"/>
      </w:rPr>
    </w:lvl>
    <w:lvl w:ilvl="5" w:tplc="93024424">
      <w:numFmt w:val="bullet"/>
      <w:lvlText w:val="•"/>
      <w:lvlJc w:val="left"/>
      <w:pPr>
        <w:ind w:left="5800" w:hanging="1757"/>
      </w:pPr>
      <w:rPr>
        <w:rFonts w:hint="default"/>
      </w:rPr>
    </w:lvl>
    <w:lvl w:ilvl="6" w:tplc="A880A40A">
      <w:numFmt w:val="bullet"/>
      <w:lvlText w:val="•"/>
      <w:lvlJc w:val="left"/>
      <w:pPr>
        <w:ind w:left="6400" w:hanging="1757"/>
      </w:pPr>
      <w:rPr>
        <w:rFonts w:hint="default"/>
      </w:rPr>
    </w:lvl>
    <w:lvl w:ilvl="7" w:tplc="87F8B228">
      <w:numFmt w:val="bullet"/>
      <w:lvlText w:val="•"/>
      <w:lvlJc w:val="left"/>
      <w:pPr>
        <w:ind w:left="7000" w:hanging="1757"/>
      </w:pPr>
      <w:rPr>
        <w:rFonts w:hint="default"/>
      </w:rPr>
    </w:lvl>
    <w:lvl w:ilvl="8" w:tplc="3D9843F2">
      <w:numFmt w:val="bullet"/>
      <w:lvlText w:val="•"/>
      <w:lvlJc w:val="left"/>
      <w:pPr>
        <w:ind w:left="7600" w:hanging="1757"/>
      </w:pPr>
      <w:rPr>
        <w:rFonts w:hint="default"/>
      </w:rPr>
    </w:lvl>
  </w:abstractNum>
  <w:abstractNum w:abstractNumId="29" w15:restartNumberingAfterBreak="0">
    <w:nsid w:val="47DB6CC8"/>
    <w:multiLevelType w:val="hybridMultilevel"/>
    <w:tmpl w:val="FDB22B2C"/>
    <w:lvl w:ilvl="0" w:tplc="09BAA436">
      <w:start w:val="3"/>
      <w:numFmt w:val="lowerLetter"/>
      <w:lvlText w:val="[%1]"/>
      <w:lvlJc w:val="left"/>
      <w:pPr>
        <w:ind w:left="2983" w:hanging="1757"/>
      </w:pPr>
      <w:rPr>
        <w:rFonts w:ascii="Times New Roman" w:eastAsia="Times New Roman" w:hAnsi="Times New Roman" w:cs="Times New Roman" w:hint="default"/>
        <w:color w:val="231F20"/>
        <w:w w:val="99"/>
        <w:sz w:val="20"/>
        <w:szCs w:val="20"/>
      </w:rPr>
    </w:lvl>
    <w:lvl w:ilvl="1" w:tplc="500EAF2A">
      <w:start w:val="2"/>
      <w:numFmt w:val="lowerLetter"/>
      <w:lvlText w:val="[%2]"/>
      <w:lvlJc w:val="left"/>
      <w:pPr>
        <w:ind w:left="2328" w:hanging="484"/>
      </w:pPr>
      <w:rPr>
        <w:rFonts w:ascii="Times New Roman" w:eastAsia="Times New Roman" w:hAnsi="Times New Roman" w:cs="Times New Roman" w:hint="default"/>
        <w:b/>
        <w:bCs/>
        <w:color w:val="231F20"/>
        <w:w w:val="99"/>
        <w:sz w:val="22"/>
        <w:szCs w:val="22"/>
      </w:rPr>
    </w:lvl>
    <w:lvl w:ilvl="2" w:tplc="321A8656">
      <w:numFmt w:val="bullet"/>
      <w:lvlText w:val="•"/>
      <w:lvlJc w:val="left"/>
      <w:pPr>
        <w:ind w:left="3626" w:hanging="484"/>
      </w:pPr>
      <w:rPr>
        <w:rFonts w:hint="default"/>
      </w:rPr>
    </w:lvl>
    <w:lvl w:ilvl="3" w:tplc="10FA9BC8">
      <w:numFmt w:val="bullet"/>
      <w:lvlText w:val="•"/>
      <w:lvlJc w:val="left"/>
      <w:pPr>
        <w:ind w:left="4273" w:hanging="484"/>
      </w:pPr>
      <w:rPr>
        <w:rFonts w:hint="default"/>
      </w:rPr>
    </w:lvl>
    <w:lvl w:ilvl="4" w:tplc="B0986CE0">
      <w:numFmt w:val="bullet"/>
      <w:lvlText w:val="•"/>
      <w:lvlJc w:val="left"/>
      <w:pPr>
        <w:ind w:left="4920" w:hanging="484"/>
      </w:pPr>
      <w:rPr>
        <w:rFonts w:hint="default"/>
      </w:rPr>
    </w:lvl>
    <w:lvl w:ilvl="5" w:tplc="388E0CCA">
      <w:numFmt w:val="bullet"/>
      <w:lvlText w:val="•"/>
      <w:lvlJc w:val="left"/>
      <w:pPr>
        <w:ind w:left="5566" w:hanging="484"/>
      </w:pPr>
      <w:rPr>
        <w:rFonts w:hint="default"/>
      </w:rPr>
    </w:lvl>
    <w:lvl w:ilvl="6" w:tplc="0E0AE3F2">
      <w:numFmt w:val="bullet"/>
      <w:lvlText w:val="•"/>
      <w:lvlJc w:val="left"/>
      <w:pPr>
        <w:ind w:left="6213" w:hanging="484"/>
      </w:pPr>
      <w:rPr>
        <w:rFonts w:hint="default"/>
      </w:rPr>
    </w:lvl>
    <w:lvl w:ilvl="7" w:tplc="395A7B0E">
      <w:numFmt w:val="bullet"/>
      <w:lvlText w:val="•"/>
      <w:lvlJc w:val="left"/>
      <w:pPr>
        <w:ind w:left="6860" w:hanging="484"/>
      </w:pPr>
      <w:rPr>
        <w:rFonts w:hint="default"/>
      </w:rPr>
    </w:lvl>
    <w:lvl w:ilvl="8" w:tplc="6C989D1A">
      <w:numFmt w:val="bullet"/>
      <w:lvlText w:val="•"/>
      <w:lvlJc w:val="left"/>
      <w:pPr>
        <w:ind w:left="7506" w:hanging="484"/>
      </w:pPr>
      <w:rPr>
        <w:rFonts w:hint="default"/>
      </w:rPr>
    </w:lvl>
  </w:abstractNum>
  <w:abstractNum w:abstractNumId="30" w15:restartNumberingAfterBreak="0">
    <w:nsid w:val="4A7D5DDB"/>
    <w:multiLevelType w:val="hybridMultilevel"/>
    <w:tmpl w:val="95520BBE"/>
    <w:lvl w:ilvl="0" w:tplc="D2AA833E">
      <w:start w:val="5"/>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DACE9A50">
      <w:start w:val="2"/>
      <w:numFmt w:val="lowerLetter"/>
      <w:lvlText w:val="[%2]"/>
      <w:lvlJc w:val="left"/>
      <w:pPr>
        <w:ind w:left="2983" w:hanging="1757"/>
      </w:pPr>
      <w:rPr>
        <w:rFonts w:ascii="Times New Roman" w:eastAsia="Times New Roman" w:hAnsi="Times New Roman" w:cs="Times New Roman" w:hint="default"/>
        <w:color w:val="231F20"/>
        <w:w w:val="99"/>
        <w:sz w:val="20"/>
        <w:szCs w:val="20"/>
      </w:rPr>
    </w:lvl>
    <w:lvl w:ilvl="2" w:tplc="D5522460">
      <w:start w:val="1"/>
      <w:numFmt w:val="decimal"/>
      <w:lvlText w:val="[%3]"/>
      <w:lvlJc w:val="left"/>
      <w:pPr>
        <w:ind w:left="3262" w:hanging="1757"/>
      </w:pPr>
      <w:rPr>
        <w:rFonts w:ascii="Times New Roman" w:eastAsia="Times New Roman" w:hAnsi="Times New Roman" w:cs="Times New Roman" w:hint="default"/>
        <w:color w:val="231F20"/>
        <w:w w:val="99"/>
        <w:sz w:val="20"/>
        <w:szCs w:val="20"/>
      </w:rPr>
    </w:lvl>
    <w:lvl w:ilvl="3" w:tplc="DB225482">
      <w:numFmt w:val="bullet"/>
      <w:lvlText w:val="•"/>
      <w:lvlJc w:val="left"/>
      <w:pPr>
        <w:ind w:left="3952" w:hanging="1757"/>
      </w:pPr>
      <w:rPr>
        <w:rFonts w:hint="default"/>
      </w:rPr>
    </w:lvl>
    <w:lvl w:ilvl="4" w:tplc="825EEAE8">
      <w:numFmt w:val="bullet"/>
      <w:lvlText w:val="•"/>
      <w:lvlJc w:val="left"/>
      <w:pPr>
        <w:ind w:left="4645" w:hanging="1757"/>
      </w:pPr>
      <w:rPr>
        <w:rFonts w:hint="default"/>
      </w:rPr>
    </w:lvl>
    <w:lvl w:ilvl="5" w:tplc="60C62260">
      <w:numFmt w:val="bullet"/>
      <w:lvlText w:val="•"/>
      <w:lvlJc w:val="left"/>
      <w:pPr>
        <w:ind w:left="5337" w:hanging="1757"/>
      </w:pPr>
      <w:rPr>
        <w:rFonts w:hint="default"/>
      </w:rPr>
    </w:lvl>
    <w:lvl w:ilvl="6" w:tplc="FEF0EF86">
      <w:numFmt w:val="bullet"/>
      <w:lvlText w:val="•"/>
      <w:lvlJc w:val="left"/>
      <w:pPr>
        <w:ind w:left="6030" w:hanging="1757"/>
      </w:pPr>
      <w:rPr>
        <w:rFonts w:hint="default"/>
      </w:rPr>
    </w:lvl>
    <w:lvl w:ilvl="7" w:tplc="7966AF94">
      <w:numFmt w:val="bullet"/>
      <w:lvlText w:val="•"/>
      <w:lvlJc w:val="left"/>
      <w:pPr>
        <w:ind w:left="6722" w:hanging="1757"/>
      </w:pPr>
      <w:rPr>
        <w:rFonts w:hint="default"/>
      </w:rPr>
    </w:lvl>
    <w:lvl w:ilvl="8" w:tplc="45D45266">
      <w:numFmt w:val="bullet"/>
      <w:lvlText w:val="•"/>
      <w:lvlJc w:val="left"/>
      <w:pPr>
        <w:ind w:left="7415" w:hanging="1757"/>
      </w:pPr>
      <w:rPr>
        <w:rFonts w:hint="default"/>
      </w:rPr>
    </w:lvl>
  </w:abstractNum>
  <w:abstractNum w:abstractNumId="31" w15:restartNumberingAfterBreak="0">
    <w:nsid w:val="4A9A4C51"/>
    <w:multiLevelType w:val="hybridMultilevel"/>
    <w:tmpl w:val="28DE2C36"/>
    <w:lvl w:ilvl="0" w:tplc="5A084C02">
      <w:start w:val="3"/>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45C02374">
      <w:numFmt w:val="bullet"/>
      <w:lvlText w:val="•"/>
      <w:lvlJc w:val="left"/>
      <w:pPr>
        <w:ind w:left="3400" w:hanging="1757"/>
      </w:pPr>
      <w:rPr>
        <w:rFonts w:hint="default"/>
      </w:rPr>
    </w:lvl>
    <w:lvl w:ilvl="2" w:tplc="8E34C83E">
      <w:numFmt w:val="bullet"/>
      <w:lvlText w:val="•"/>
      <w:lvlJc w:val="left"/>
      <w:pPr>
        <w:ind w:left="4000" w:hanging="1757"/>
      </w:pPr>
      <w:rPr>
        <w:rFonts w:hint="default"/>
      </w:rPr>
    </w:lvl>
    <w:lvl w:ilvl="3" w:tplc="7BC2232C">
      <w:numFmt w:val="bullet"/>
      <w:lvlText w:val="•"/>
      <w:lvlJc w:val="left"/>
      <w:pPr>
        <w:ind w:left="4600" w:hanging="1757"/>
      </w:pPr>
      <w:rPr>
        <w:rFonts w:hint="default"/>
      </w:rPr>
    </w:lvl>
    <w:lvl w:ilvl="4" w:tplc="A6EAE580">
      <w:numFmt w:val="bullet"/>
      <w:lvlText w:val="•"/>
      <w:lvlJc w:val="left"/>
      <w:pPr>
        <w:ind w:left="5200" w:hanging="1757"/>
      </w:pPr>
      <w:rPr>
        <w:rFonts w:hint="default"/>
      </w:rPr>
    </w:lvl>
    <w:lvl w:ilvl="5" w:tplc="EB7ED212">
      <w:numFmt w:val="bullet"/>
      <w:lvlText w:val="•"/>
      <w:lvlJc w:val="left"/>
      <w:pPr>
        <w:ind w:left="5800" w:hanging="1757"/>
      </w:pPr>
      <w:rPr>
        <w:rFonts w:hint="default"/>
      </w:rPr>
    </w:lvl>
    <w:lvl w:ilvl="6" w:tplc="ACF48184">
      <w:numFmt w:val="bullet"/>
      <w:lvlText w:val="•"/>
      <w:lvlJc w:val="left"/>
      <w:pPr>
        <w:ind w:left="6400" w:hanging="1757"/>
      </w:pPr>
      <w:rPr>
        <w:rFonts w:hint="default"/>
      </w:rPr>
    </w:lvl>
    <w:lvl w:ilvl="7" w:tplc="292621F6">
      <w:numFmt w:val="bullet"/>
      <w:lvlText w:val="•"/>
      <w:lvlJc w:val="left"/>
      <w:pPr>
        <w:ind w:left="7000" w:hanging="1757"/>
      </w:pPr>
      <w:rPr>
        <w:rFonts w:hint="default"/>
      </w:rPr>
    </w:lvl>
    <w:lvl w:ilvl="8" w:tplc="2F2E4B6C">
      <w:numFmt w:val="bullet"/>
      <w:lvlText w:val="•"/>
      <w:lvlJc w:val="left"/>
      <w:pPr>
        <w:ind w:left="7600" w:hanging="1757"/>
      </w:pPr>
      <w:rPr>
        <w:rFonts w:hint="default"/>
      </w:rPr>
    </w:lvl>
  </w:abstractNum>
  <w:abstractNum w:abstractNumId="32" w15:restartNumberingAfterBreak="0">
    <w:nsid w:val="4BC80DFA"/>
    <w:multiLevelType w:val="hybridMultilevel"/>
    <w:tmpl w:val="A78E839A"/>
    <w:lvl w:ilvl="0" w:tplc="4E3CD68A">
      <w:start w:val="1"/>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0260746C">
      <w:numFmt w:val="bullet"/>
      <w:lvlText w:val="•"/>
      <w:lvlJc w:val="left"/>
      <w:pPr>
        <w:ind w:left="3400" w:hanging="1757"/>
      </w:pPr>
      <w:rPr>
        <w:rFonts w:hint="default"/>
      </w:rPr>
    </w:lvl>
    <w:lvl w:ilvl="2" w:tplc="F3C8FAA6">
      <w:numFmt w:val="bullet"/>
      <w:lvlText w:val="•"/>
      <w:lvlJc w:val="left"/>
      <w:pPr>
        <w:ind w:left="4000" w:hanging="1757"/>
      </w:pPr>
      <w:rPr>
        <w:rFonts w:hint="default"/>
      </w:rPr>
    </w:lvl>
    <w:lvl w:ilvl="3" w:tplc="3D54274E">
      <w:numFmt w:val="bullet"/>
      <w:lvlText w:val="•"/>
      <w:lvlJc w:val="left"/>
      <w:pPr>
        <w:ind w:left="4600" w:hanging="1757"/>
      </w:pPr>
      <w:rPr>
        <w:rFonts w:hint="default"/>
      </w:rPr>
    </w:lvl>
    <w:lvl w:ilvl="4" w:tplc="587E6AB8">
      <w:numFmt w:val="bullet"/>
      <w:lvlText w:val="•"/>
      <w:lvlJc w:val="left"/>
      <w:pPr>
        <w:ind w:left="5200" w:hanging="1757"/>
      </w:pPr>
      <w:rPr>
        <w:rFonts w:hint="default"/>
      </w:rPr>
    </w:lvl>
    <w:lvl w:ilvl="5" w:tplc="85C6661E">
      <w:numFmt w:val="bullet"/>
      <w:lvlText w:val="•"/>
      <w:lvlJc w:val="left"/>
      <w:pPr>
        <w:ind w:left="5800" w:hanging="1757"/>
      </w:pPr>
      <w:rPr>
        <w:rFonts w:hint="default"/>
      </w:rPr>
    </w:lvl>
    <w:lvl w:ilvl="6" w:tplc="F08E11C6">
      <w:numFmt w:val="bullet"/>
      <w:lvlText w:val="•"/>
      <w:lvlJc w:val="left"/>
      <w:pPr>
        <w:ind w:left="6400" w:hanging="1757"/>
      </w:pPr>
      <w:rPr>
        <w:rFonts w:hint="default"/>
      </w:rPr>
    </w:lvl>
    <w:lvl w:ilvl="7" w:tplc="4552B0CA">
      <w:numFmt w:val="bullet"/>
      <w:lvlText w:val="•"/>
      <w:lvlJc w:val="left"/>
      <w:pPr>
        <w:ind w:left="7000" w:hanging="1757"/>
      </w:pPr>
      <w:rPr>
        <w:rFonts w:hint="default"/>
      </w:rPr>
    </w:lvl>
    <w:lvl w:ilvl="8" w:tplc="C7D49FFE">
      <w:numFmt w:val="bullet"/>
      <w:lvlText w:val="•"/>
      <w:lvlJc w:val="left"/>
      <w:pPr>
        <w:ind w:left="7600" w:hanging="1757"/>
      </w:pPr>
      <w:rPr>
        <w:rFonts w:hint="default"/>
      </w:rPr>
    </w:lvl>
  </w:abstractNum>
  <w:abstractNum w:abstractNumId="33" w15:restartNumberingAfterBreak="0">
    <w:nsid w:val="50685FFC"/>
    <w:multiLevelType w:val="hybridMultilevel"/>
    <w:tmpl w:val="2A288896"/>
    <w:lvl w:ilvl="0" w:tplc="4DA888C6">
      <w:start w:val="1"/>
      <w:numFmt w:val="decimal"/>
      <w:lvlText w:val="[%1]"/>
      <w:lvlJc w:val="left"/>
      <w:pPr>
        <w:ind w:left="2041" w:hanging="496"/>
        <w:jc w:val="right"/>
      </w:pPr>
      <w:rPr>
        <w:rFonts w:ascii="Times New Roman" w:eastAsia="Times New Roman" w:hAnsi="Times New Roman" w:cs="Times New Roman" w:hint="default"/>
        <w:b/>
        <w:bCs/>
        <w:color w:val="231F20"/>
        <w:w w:val="99"/>
        <w:sz w:val="22"/>
        <w:szCs w:val="22"/>
      </w:rPr>
    </w:lvl>
    <w:lvl w:ilvl="1" w:tplc="855CABE2">
      <w:numFmt w:val="bullet"/>
      <w:lvlText w:val="•"/>
      <w:lvlJc w:val="left"/>
      <w:pPr>
        <w:ind w:left="2716" w:hanging="496"/>
      </w:pPr>
      <w:rPr>
        <w:rFonts w:hint="default"/>
      </w:rPr>
    </w:lvl>
    <w:lvl w:ilvl="2" w:tplc="911E988A">
      <w:numFmt w:val="bullet"/>
      <w:lvlText w:val="•"/>
      <w:lvlJc w:val="left"/>
      <w:pPr>
        <w:ind w:left="3392" w:hanging="496"/>
      </w:pPr>
      <w:rPr>
        <w:rFonts w:hint="default"/>
      </w:rPr>
    </w:lvl>
    <w:lvl w:ilvl="3" w:tplc="5B3C7E24">
      <w:numFmt w:val="bullet"/>
      <w:lvlText w:val="•"/>
      <w:lvlJc w:val="left"/>
      <w:pPr>
        <w:ind w:left="4068" w:hanging="496"/>
      </w:pPr>
      <w:rPr>
        <w:rFonts w:hint="default"/>
      </w:rPr>
    </w:lvl>
    <w:lvl w:ilvl="4" w:tplc="BF743648">
      <w:numFmt w:val="bullet"/>
      <w:lvlText w:val="•"/>
      <w:lvlJc w:val="left"/>
      <w:pPr>
        <w:ind w:left="4744" w:hanging="496"/>
      </w:pPr>
      <w:rPr>
        <w:rFonts w:hint="default"/>
      </w:rPr>
    </w:lvl>
    <w:lvl w:ilvl="5" w:tplc="DD7C6810">
      <w:numFmt w:val="bullet"/>
      <w:lvlText w:val="•"/>
      <w:lvlJc w:val="left"/>
      <w:pPr>
        <w:ind w:left="5420" w:hanging="496"/>
      </w:pPr>
      <w:rPr>
        <w:rFonts w:hint="default"/>
      </w:rPr>
    </w:lvl>
    <w:lvl w:ilvl="6" w:tplc="B9D6B77E">
      <w:numFmt w:val="bullet"/>
      <w:lvlText w:val="•"/>
      <w:lvlJc w:val="left"/>
      <w:pPr>
        <w:ind w:left="6096" w:hanging="496"/>
      </w:pPr>
      <w:rPr>
        <w:rFonts w:hint="default"/>
      </w:rPr>
    </w:lvl>
    <w:lvl w:ilvl="7" w:tplc="F65E19B4">
      <w:numFmt w:val="bullet"/>
      <w:lvlText w:val="•"/>
      <w:lvlJc w:val="left"/>
      <w:pPr>
        <w:ind w:left="6772" w:hanging="496"/>
      </w:pPr>
      <w:rPr>
        <w:rFonts w:hint="default"/>
      </w:rPr>
    </w:lvl>
    <w:lvl w:ilvl="8" w:tplc="8244F146">
      <w:numFmt w:val="bullet"/>
      <w:lvlText w:val="•"/>
      <w:lvlJc w:val="left"/>
      <w:pPr>
        <w:ind w:left="7448" w:hanging="496"/>
      </w:pPr>
      <w:rPr>
        <w:rFonts w:hint="default"/>
      </w:rPr>
    </w:lvl>
  </w:abstractNum>
  <w:abstractNum w:abstractNumId="34" w15:restartNumberingAfterBreak="0">
    <w:nsid w:val="51F85157"/>
    <w:multiLevelType w:val="hybridMultilevel"/>
    <w:tmpl w:val="96EC4892"/>
    <w:lvl w:ilvl="0" w:tplc="86BC8026">
      <w:start w:val="3"/>
      <w:numFmt w:val="lowerLetter"/>
      <w:lvlText w:val="[%1]"/>
      <w:lvlJc w:val="left"/>
      <w:pPr>
        <w:ind w:left="1440" w:hanging="360"/>
      </w:pPr>
      <w:rPr>
        <w:rFonts w:ascii="Times New Roman" w:eastAsia="Times New Roman" w:hAnsi="Times New Roman" w:cs="Times New Roman" w:hint="default"/>
        <w:b/>
        <w:bCs/>
        <w:color w:val="231F2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575481"/>
    <w:multiLevelType w:val="hybridMultilevel"/>
    <w:tmpl w:val="3FCE24EA"/>
    <w:lvl w:ilvl="0" w:tplc="AB1A9B12">
      <w:start w:val="2"/>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B26A09DE">
      <w:numFmt w:val="bullet"/>
      <w:lvlText w:val="•"/>
      <w:lvlJc w:val="left"/>
      <w:pPr>
        <w:ind w:left="2716" w:hanging="496"/>
      </w:pPr>
      <w:rPr>
        <w:rFonts w:hint="default"/>
      </w:rPr>
    </w:lvl>
    <w:lvl w:ilvl="2" w:tplc="DC02EF3A">
      <w:numFmt w:val="bullet"/>
      <w:lvlText w:val="•"/>
      <w:lvlJc w:val="left"/>
      <w:pPr>
        <w:ind w:left="3392" w:hanging="496"/>
      </w:pPr>
      <w:rPr>
        <w:rFonts w:hint="default"/>
      </w:rPr>
    </w:lvl>
    <w:lvl w:ilvl="3" w:tplc="4DCCFF48">
      <w:numFmt w:val="bullet"/>
      <w:lvlText w:val="•"/>
      <w:lvlJc w:val="left"/>
      <w:pPr>
        <w:ind w:left="4068" w:hanging="496"/>
      </w:pPr>
      <w:rPr>
        <w:rFonts w:hint="default"/>
      </w:rPr>
    </w:lvl>
    <w:lvl w:ilvl="4" w:tplc="1AE290DE">
      <w:numFmt w:val="bullet"/>
      <w:lvlText w:val="•"/>
      <w:lvlJc w:val="left"/>
      <w:pPr>
        <w:ind w:left="4744" w:hanging="496"/>
      </w:pPr>
      <w:rPr>
        <w:rFonts w:hint="default"/>
      </w:rPr>
    </w:lvl>
    <w:lvl w:ilvl="5" w:tplc="08B67646">
      <w:numFmt w:val="bullet"/>
      <w:lvlText w:val="•"/>
      <w:lvlJc w:val="left"/>
      <w:pPr>
        <w:ind w:left="5420" w:hanging="496"/>
      </w:pPr>
      <w:rPr>
        <w:rFonts w:hint="default"/>
      </w:rPr>
    </w:lvl>
    <w:lvl w:ilvl="6" w:tplc="DB64087A">
      <w:numFmt w:val="bullet"/>
      <w:lvlText w:val="•"/>
      <w:lvlJc w:val="left"/>
      <w:pPr>
        <w:ind w:left="6096" w:hanging="496"/>
      </w:pPr>
      <w:rPr>
        <w:rFonts w:hint="default"/>
      </w:rPr>
    </w:lvl>
    <w:lvl w:ilvl="7" w:tplc="A614F4E0">
      <w:numFmt w:val="bullet"/>
      <w:lvlText w:val="•"/>
      <w:lvlJc w:val="left"/>
      <w:pPr>
        <w:ind w:left="6772" w:hanging="496"/>
      </w:pPr>
      <w:rPr>
        <w:rFonts w:hint="default"/>
      </w:rPr>
    </w:lvl>
    <w:lvl w:ilvl="8" w:tplc="EA043D5C">
      <w:numFmt w:val="bullet"/>
      <w:lvlText w:val="•"/>
      <w:lvlJc w:val="left"/>
      <w:pPr>
        <w:ind w:left="7448" w:hanging="496"/>
      </w:pPr>
      <w:rPr>
        <w:rFonts w:hint="default"/>
      </w:rPr>
    </w:lvl>
  </w:abstractNum>
  <w:abstractNum w:abstractNumId="36" w15:restartNumberingAfterBreak="0">
    <w:nsid w:val="58CC4009"/>
    <w:multiLevelType w:val="hybridMultilevel"/>
    <w:tmpl w:val="CEE25100"/>
    <w:lvl w:ilvl="0" w:tplc="FF201970">
      <w:start w:val="2"/>
      <w:numFmt w:val="decimal"/>
      <w:lvlText w:val="[%1]"/>
      <w:lvlJc w:val="left"/>
      <w:pPr>
        <w:ind w:left="3262" w:hanging="1757"/>
      </w:pPr>
      <w:rPr>
        <w:rFonts w:ascii="Times New Roman" w:eastAsia="Times New Roman" w:hAnsi="Times New Roman" w:cs="Times New Roman" w:hint="default"/>
        <w:color w:val="231F20"/>
        <w:w w:val="99"/>
        <w:sz w:val="20"/>
        <w:szCs w:val="20"/>
      </w:rPr>
    </w:lvl>
    <w:lvl w:ilvl="1" w:tplc="2616979A">
      <w:numFmt w:val="bullet"/>
      <w:lvlText w:val="•"/>
      <w:lvlJc w:val="left"/>
      <w:pPr>
        <w:ind w:left="3814" w:hanging="1757"/>
      </w:pPr>
      <w:rPr>
        <w:rFonts w:hint="default"/>
      </w:rPr>
    </w:lvl>
    <w:lvl w:ilvl="2" w:tplc="82E27B9A">
      <w:numFmt w:val="bullet"/>
      <w:lvlText w:val="•"/>
      <w:lvlJc w:val="left"/>
      <w:pPr>
        <w:ind w:left="4368" w:hanging="1757"/>
      </w:pPr>
      <w:rPr>
        <w:rFonts w:hint="default"/>
      </w:rPr>
    </w:lvl>
    <w:lvl w:ilvl="3" w:tplc="3EFE2506">
      <w:numFmt w:val="bullet"/>
      <w:lvlText w:val="•"/>
      <w:lvlJc w:val="left"/>
      <w:pPr>
        <w:ind w:left="4922" w:hanging="1757"/>
      </w:pPr>
      <w:rPr>
        <w:rFonts w:hint="default"/>
      </w:rPr>
    </w:lvl>
    <w:lvl w:ilvl="4" w:tplc="C950864C">
      <w:numFmt w:val="bullet"/>
      <w:lvlText w:val="•"/>
      <w:lvlJc w:val="left"/>
      <w:pPr>
        <w:ind w:left="5476" w:hanging="1757"/>
      </w:pPr>
      <w:rPr>
        <w:rFonts w:hint="default"/>
      </w:rPr>
    </w:lvl>
    <w:lvl w:ilvl="5" w:tplc="98CEBECE">
      <w:numFmt w:val="bullet"/>
      <w:lvlText w:val="•"/>
      <w:lvlJc w:val="left"/>
      <w:pPr>
        <w:ind w:left="6030" w:hanging="1757"/>
      </w:pPr>
      <w:rPr>
        <w:rFonts w:hint="default"/>
      </w:rPr>
    </w:lvl>
    <w:lvl w:ilvl="6" w:tplc="9EE097F6">
      <w:numFmt w:val="bullet"/>
      <w:lvlText w:val="•"/>
      <w:lvlJc w:val="left"/>
      <w:pPr>
        <w:ind w:left="6584" w:hanging="1757"/>
      </w:pPr>
      <w:rPr>
        <w:rFonts w:hint="default"/>
      </w:rPr>
    </w:lvl>
    <w:lvl w:ilvl="7" w:tplc="3054718E">
      <w:numFmt w:val="bullet"/>
      <w:lvlText w:val="•"/>
      <w:lvlJc w:val="left"/>
      <w:pPr>
        <w:ind w:left="7138" w:hanging="1757"/>
      </w:pPr>
      <w:rPr>
        <w:rFonts w:hint="default"/>
      </w:rPr>
    </w:lvl>
    <w:lvl w:ilvl="8" w:tplc="ECFC36B4">
      <w:numFmt w:val="bullet"/>
      <w:lvlText w:val="•"/>
      <w:lvlJc w:val="left"/>
      <w:pPr>
        <w:ind w:left="7692" w:hanging="1757"/>
      </w:pPr>
      <w:rPr>
        <w:rFonts w:hint="default"/>
      </w:rPr>
    </w:lvl>
  </w:abstractNum>
  <w:abstractNum w:abstractNumId="37" w15:restartNumberingAfterBreak="0">
    <w:nsid w:val="5A924F92"/>
    <w:multiLevelType w:val="hybridMultilevel"/>
    <w:tmpl w:val="B04CEA58"/>
    <w:lvl w:ilvl="0" w:tplc="7820C54E">
      <w:start w:val="4"/>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2D7743"/>
    <w:multiLevelType w:val="hybridMultilevel"/>
    <w:tmpl w:val="F342CF16"/>
    <w:lvl w:ilvl="0" w:tplc="2B20E168">
      <w:start w:val="1"/>
      <w:numFmt w:val="decimal"/>
      <w:lvlText w:val="[%1]"/>
      <w:lvlJc w:val="left"/>
      <w:pPr>
        <w:ind w:left="2121" w:hanging="496"/>
      </w:pPr>
      <w:rPr>
        <w:rFonts w:ascii="Times New Roman" w:eastAsia="Times New Roman" w:hAnsi="Times New Roman" w:cs="Times New Roman" w:hint="default"/>
        <w:b/>
        <w:bCs/>
        <w:color w:val="231F20"/>
        <w:w w:val="99"/>
        <w:sz w:val="22"/>
        <w:szCs w:val="22"/>
      </w:rPr>
    </w:lvl>
    <w:lvl w:ilvl="1" w:tplc="EE3025F0">
      <w:numFmt w:val="bullet"/>
      <w:lvlText w:val="•"/>
      <w:lvlJc w:val="left"/>
      <w:pPr>
        <w:ind w:left="2788" w:hanging="496"/>
      </w:pPr>
      <w:rPr>
        <w:rFonts w:hint="default"/>
      </w:rPr>
    </w:lvl>
    <w:lvl w:ilvl="2" w:tplc="B1B61FB8">
      <w:numFmt w:val="bullet"/>
      <w:lvlText w:val="•"/>
      <w:lvlJc w:val="left"/>
      <w:pPr>
        <w:ind w:left="3456" w:hanging="496"/>
      </w:pPr>
      <w:rPr>
        <w:rFonts w:hint="default"/>
      </w:rPr>
    </w:lvl>
    <w:lvl w:ilvl="3" w:tplc="5FC4359E">
      <w:numFmt w:val="bullet"/>
      <w:lvlText w:val="•"/>
      <w:lvlJc w:val="left"/>
      <w:pPr>
        <w:ind w:left="4124" w:hanging="496"/>
      </w:pPr>
      <w:rPr>
        <w:rFonts w:hint="default"/>
      </w:rPr>
    </w:lvl>
    <w:lvl w:ilvl="4" w:tplc="5E02F648">
      <w:numFmt w:val="bullet"/>
      <w:lvlText w:val="•"/>
      <w:lvlJc w:val="left"/>
      <w:pPr>
        <w:ind w:left="4792" w:hanging="496"/>
      </w:pPr>
      <w:rPr>
        <w:rFonts w:hint="default"/>
      </w:rPr>
    </w:lvl>
    <w:lvl w:ilvl="5" w:tplc="D69CDC02">
      <w:numFmt w:val="bullet"/>
      <w:lvlText w:val="•"/>
      <w:lvlJc w:val="left"/>
      <w:pPr>
        <w:ind w:left="5460" w:hanging="496"/>
      </w:pPr>
      <w:rPr>
        <w:rFonts w:hint="default"/>
      </w:rPr>
    </w:lvl>
    <w:lvl w:ilvl="6" w:tplc="C436052A">
      <w:numFmt w:val="bullet"/>
      <w:lvlText w:val="•"/>
      <w:lvlJc w:val="left"/>
      <w:pPr>
        <w:ind w:left="6128" w:hanging="496"/>
      </w:pPr>
      <w:rPr>
        <w:rFonts w:hint="default"/>
      </w:rPr>
    </w:lvl>
    <w:lvl w:ilvl="7" w:tplc="8C263280">
      <w:numFmt w:val="bullet"/>
      <w:lvlText w:val="•"/>
      <w:lvlJc w:val="left"/>
      <w:pPr>
        <w:ind w:left="6796" w:hanging="496"/>
      </w:pPr>
      <w:rPr>
        <w:rFonts w:hint="default"/>
      </w:rPr>
    </w:lvl>
    <w:lvl w:ilvl="8" w:tplc="B9C2E0B4">
      <w:numFmt w:val="bullet"/>
      <w:lvlText w:val="•"/>
      <w:lvlJc w:val="left"/>
      <w:pPr>
        <w:ind w:left="7464" w:hanging="496"/>
      </w:pPr>
      <w:rPr>
        <w:rFonts w:hint="default"/>
      </w:rPr>
    </w:lvl>
  </w:abstractNum>
  <w:abstractNum w:abstractNumId="39" w15:restartNumberingAfterBreak="0">
    <w:nsid w:val="5E9B3C5C"/>
    <w:multiLevelType w:val="hybridMultilevel"/>
    <w:tmpl w:val="AEBA9624"/>
    <w:lvl w:ilvl="0" w:tplc="90548F50">
      <w:start w:val="4"/>
      <w:numFmt w:val="decimal"/>
      <w:lvlText w:val="[%1]"/>
      <w:lvlJc w:val="left"/>
      <w:pPr>
        <w:ind w:left="2121" w:hanging="496"/>
        <w:jc w:val="right"/>
      </w:pPr>
      <w:rPr>
        <w:rFonts w:ascii="Times New Roman" w:eastAsia="Times New Roman" w:hAnsi="Times New Roman" w:cs="Times New Roman" w:hint="default"/>
        <w:b/>
        <w:bCs/>
        <w:color w:val="231F20"/>
        <w:w w:val="99"/>
        <w:sz w:val="22"/>
        <w:szCs w:val="22"/>
      </w:rPr>
    </w:lvl>
    <w:lvl w:ilvl="1" w:tplc="864C76BC">
      <w:numFmt w:val="bullet"/>
      <w:lvlText w:val="•"/>
      <w:lvlJc w:val="left"/>
      <w:pPr>
        <w:ind w:left="2788" w:hanging="496"/>
      </w:pPr>
      <w:rPr>
        <w:rFonts w:hint="default"/>
      </w:rPr>
    </w:lvl>
    <w:lvl w:ilvl="2" w:tplc="A4B650B0">
      <w:numFmt w:val="bullet"/>
      <w:lvlText w:val="•"/>
      <w:lvlJc w:val="left"/>
      <w:pPr>
        <w:ind w:left="3456" w:hanging="496"/>
      </w:pPr>
      <w:rPr>
        <w:rFonts w:hint="default"/>
      </w:rPr>
    </w:lvl>
    <w:lvl w:ilvl="3" w:tplc="0686A15C">
      <w:numFmt w:val="bullet"/>
      <w:lvlText w:val="•"/>
      <w:lvlJc w:val="left"/>
      <w:pPr>
        <w:ind w:left="4124" w:hanging="496"/>
      </w:pPr>
      <w:rPr>
        <w:rFonts w:hint="default"/>
      </w:rPr>
    </w:lvl>
    <w:lvl w:ilvl="4" w:tplc="DEEEEC8C">
      <w:numFmt w:val="bullet"/>
      <w:lvlText w:val="•"/>
      <w:lvlJc w:val="left"/>
      <w:pPr>
        <w:ind w:left="4792" w:hanging="496"/>
      </w:pPr>
      <w:rPr>
        <w:rFonts w:hint="default"/>
      </w:rPr>
    </w:lvl>
    <w:lvl w:ilvl="5" w:tplc="44EA2A72">
      <w:numFmt w:val="bullet"/>
      <w:lvlText w:val="•"/>
      <w:lvlJc w:val="left"/>
      <w:pPr>
        <w:ind w:left="5460" w:hanging="496"/>
      </w:pPr>
      <w:rPr>
        <w:rFonts w:hint="default"/>
      </w:rPr>
    </w:lvl>
    <w:lvl w:ilvl="6" w:tplc="A3FEBADC">
      <w:numFmt w:val="bullet"/>
      <w:lvlText w:val="•"/>
      <w:lvlJc w:val="left"/>
      <w:pPr>
        <w:ind w:left="6128" w:hanging="496"/>
      </w:pPr>
      <w:rPr>
        <w:rFonts w:hint="default"/>
      </w:rPr>
    </w:lvl>
    <w:lvl w:ilvl="7" w:tplc="3FD89696">
      <w:numFmt w:val="bullet"/>
      <w:lvlText w:val="•"/>
      <w:lvlJc w:val="left"/>
      <w:pPr>
        <w:ind w:left="6796" w:hanging="496"/>
      </w:pPr>
      <w:rPr>
        <w:rFonts w:hint="default"/>
      </w:rPr>
    </w:lvl>
    <w:lvl w:ilvl="8" w:tplc="6A7C9EC8">
      <w:numFmt w:val="bullet"/>
      <w:lvlText w:val="•"/>
      <w:lvlJc w:val="left"/>
      <w:pPr>
        <w:ind w:left="7464" w:hanging="496"/>
      </w:pPr>
      <w:rPr>
        <w:rFonts w:hint="default"/>
      </w:rPr>
    </w:lvl>
  </w:abstractNum>
  <w:abstractNum w:abstractNumId="40" w15:restartNumberingAfterBreak="0">
    <w:nsid w:val="612E6690"/>
    <w:multiLevelType w:val="hybridMultilevel"/>
    <w:tmpl w:val="FFF88148"/>
    <w:lvl w:ilvl="0" w:tplc="1B90D2C8">
      <w:start w:val="3"/>
      <w:numFmt w:val="decimal"/>
      <w:lvlText w:val="[%1]"/>
      <w:lvlJc w:val="left"/>
      <w:pPr>
        <w:ind w:left="2041" w:hanging="496"/>
        <w:jc w:val="right"/>
      </w:pPr>
      <w:rPr>
        <w:rFonts w:ascii="Times New Roman" w:eastAsia="Times New Roman" w:hAnsi="Times New Roman" w:cs="Times New Roman" w:hint="default"/>
        <w:b/>
        <w:bCs/>
        <w:color w:val="231F20"/>
        <w:w w:val="99"/>
        <w:sz w:val="22"/>
        <w:szCs w:val="22"/>
      </w:rPr>
    </w:lvl>
    <w:lvl w:ilvl="1" w:tplc="C6368958">
      <w:numFmt w:val="bullet"/>
      <w:lvlText w:val="•"/>
      <w:lvlJc w:val="left"/>
      <w:pPr>
        <w:ind w:left="2716" w:hanging="496"/>
      </w:pPr>
      <w:rPr>
        <w:rFonts w:hint="default"/>
      </w:rPr>
    </w:lvl>
    <w:lvl w:ilvl="2" w:tplc="5906BB46">
      <w:numFmt w:val="bullet"/>
      <w:lvlText w:val="•"/>
      <w:lvlJc w:val="left"/>
      <w:pPr>
        <w:ind w:left="3392" w:hanging="496"/>
      </w:pPr>
      <w:rPr>
        <w:rFonts w:hint="default"/>
      </w:rPr>
    </w:lvl>
    <w:lvl w:ilvl="3" w:tplc="20A48FFA">
      <w:numFmt w:val="bullet"/>
      <w:lvlText w:val="•"/>
      <w:lvlJc w:val="left"/>
      <w:pPr>
        <w:ind w:left="4068" w:hanging="496"/>
      </w:pPr>
      <w:rPr>
        <w:rFonts w:hint="default"/>
      </w:rPr>
    </w:lvl>
    <w:lvl w:ilvl="4" w:tplc="11D6A294">
      <w:numFmt w:val="bullet"/>
      <w:lvlText w:val="•"/>
      <w:lvlJc w:val="left"/>
      <w:pPr>
        <w:ind w:left="4744" w:hanging="496"/>
      </w:pPr>
      <w:rPr>
        <w:rFonts w:hint="default"/>
      </w:rPr>
    </w:lvl>
    <w:lvl w:ilvl="5" w:tplc="A524FA7E">
      <w:numFmt w:val="bullet"/>
      <w:lvlText w:val="•"/>
      <w:lvlJc w:val="left"/>
      <w:pPr>
        <w:ind w:left="5420" w:hanging="496"/>
      </w:pPr>
      <w:rPr>
        <w:rFonts w:hint="default"/>
      </w:rPr>
    </w:lvl>
    <w:lvl w:ilvl="6" w:tplc="590C9F0A">
      <w:numFmt w:val="bullet"/>
      <w:lvlText w:val="•"/>
      <w:lvlJc w:val="left"/>
      <w:pPr>
        <w:ind w:left="6096" w:hanging="496"/>
      </w:pPr>
      <w:rPr>
        <w:rFonts w:hint="default"/>
      </w:rPr>
    </w:lvl>
    <w:lvl w:ilvl="7" w:tplc="CC50CEC8">
      <w:numFmt w:val="bullet"/>
      <w:lvlText w:val="•"/>
      <w:lvlJc w:val="left"/>
      <w:pPr>
        <w:ind w:left="6772" w:hanging="496"/>
      </w:pPr>
      <w:rPr>
        <w:rFonts w:hint="default"/>
      </w:rPr>
    </w:lvl>
    <w:lvl w:ilvl="8" w:tplc="5E72A81E">
      <w:numFmt w:val="bullet"/>
      <w:lvlText w:val="•"/>
      <w:lvlJc w:val="left"/>
      <w:pPr>
        <w:ind w:left="7448" w:hanging="496"/>
      </w:pPr>
      <w:rPr>
        <w:rFonts w:hint="default"/>
      </w:rPr>
    </w:lvl>
  </w:abstractNum>
  <w:abstractNum w:abstractNumId="41" w15:restartNumberingAfterBreak="0">
    <w:nsid w:val="617F0CD1"/>
    <w:multiLevelType w:val="hybridMultilevel"/>
    <w:tmpl w:val="A4C224F2"/>
    <w:lvl w:ilvl="0" w:tplc="ABDEEA0A">
      <w:start w:val="1"/>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2368C6EA">
      <w:numFmt w:val="bullet"/>
      <w:lvlText w:val="•"/>
      <w:lvlJc w:val="left"/>
      <w:pPr>
        <w:ind w:left="3400" w:hanging="1757"/>
      </w:pPr>
      <w:rPr>
        <w:rFonts w:hint="default"/>
      </w:rPr>
    </w:lvl>
    <w:lvl w:ilvl="2" w:tplc="71B6C53C">
      <w:numFmt w:val="bullet"/>
      <w:lvlText w:val="•"/>
      <w:lvlJc w:val="left"/>
      <w:pPr>
        <w:ind w:left="4000" w:hanging="1757"/>
      </w:pPr>
      <w:rPr>
        <w:rFonts w:hint="default"/>
      </w:rPr>
    </w:lvl>
    <w:lvl w:ilvl="3" w:tplc="05804DA8">
      <w:numFmt w:val="bullet"/>
      <w:lvlText w:val="•"/>
      <w:lvlJc w:val="left"/>
      <w:pPr>
        <w:ind w:left="4600" w:hanging="1757"/>
      </w:pPr>
      <w:rPr>
        <w:rFonts w:hint="default"/>
      </w:rPr>
    </w:lvl>
    <w:lvl w:ilvl="4" w:tplc="912CCDF0">
      <w:numFmt w:val="bullet"/>
      <w:lvlText w:val="•"/>
      <w:lvlJc w:val="left"/>
      <w:pPr>
        <w:ind w:left="5200" w:hanging="1757"/>
      </w:pPr>
      <w:rPr>
        <w:rFonts w:hint="default"/>
      </w:rPr>
    </w:lvl>
    <w:lvl w:ilvl="5" w:tplc="274C0A2C">
      <w:numFmt w:val="bullet"/>
      <w:lvlText w:val="•"/>
      <w:lvlJc w:val="left"/>
      <w:pPr>
        <w:ind w:left="5800" w:hanging="1757"/>
      </w:pPr>
      <w:rPr>
        <w:rFonts w:hint="default"/>
      </w:rPr>
    </w:lvl>
    <w:lvl w:ilvl="6" w:tplc="7EA26FEC">
      <w:numFmt w:val="bullet"/>
      <w:lvlText w:val="•"/>
      <w:lvlJc w:val="left"/>
      <w:pPr>
        <w:ind w:left="6400" w:hanging="1757"/>
      </w:pPr>
      <w:rPr>
        <w:rFonts w:hint="default"/>
      </w:rPr>
    </w:lvl>
    <w:lvl w:ilvl="7" w:tplc="373A2368">
      <w:numFmt w:val="bullet"/>
      <w:lvlText w:val="•"/>
      <w:lvlJc w:val="left"/>
      <w:pPr>
        <w:ind w:left="7000" w:hanging="1757"/>
      </w:pPr>
      <w:rPr>
        <w:rFonts w:hint="default"/>
      </w:rPr>
    </w:lvl>
    <w:lvl w:ilvl="8" w:tplc="B504E108">
      <w:numFmt w:val="bullet"/>
      <w:lvlText w:val="•"/>
      <w:lvlJc w:val="left"/>
      <w:pPr>
        <w:ind w:left="7600" w:hanging="1757"/>
      </w:pPr>
      <w:rPr>
        <w:rFonts w:hint="default"/>
      </w:rPr>
    </w:lvl>
  </w:abstractNum>
  <w:abstractNum w:abstractNumId="42" w15:restartNumberingAfterBreak="0">
    <w:nsid w:val="621C09FC"/>
    <w:multiLevelType w:val="hybridMultilevel"/>
    <w:tmpl w:val="58AAE81A"/>
    <w:lvl w:ilvl="0" w:tplc="E744DB24">
      <w:start w:val="4"/>
      <w:numFmt w:val="decimal"/>
      <w:lvlText w:val="[%1]"/>
      <w:lvlJc w:val="left"/>
      <w:pPr>
        <w:ind w:left="2121" w:hanging="496"/>
        <w:jc w:val="right"/>
      </w:pPr>
      <w:rPr>
        <w:rFonts w:ascii="Times New Roman" w:eastAsia="Times New Roman" w:hAnsi="Times New Roman" w:cs="Times New Roman" w:hint="default"/>
        <w:b/>
        <w:bCs/>
        <w:color w:val="231F20"/>
        <w:w w:val="99"/>
        <w:sz w:val="22"/>
        <w:szCs w:val="22"/>
      </w:rPr>
    </w:lvl>
    <w:lvl w:ilvl="1" w:tplc="6CC2EBA8">
      <w:numFmt w:val="bullet"/>
      <w:lvlText w:val="•"/>
      <w:lvlJc w:val="left"/>
      <w:pPr>
        <w:ind w:left="2788" w:hanging="496"/>
      </w:pPr>
      <w:rPr>
        <w:rFonts w:hint="default"/>
      </w:rPr>
    </w:lvl>
    <w:lvl w:ilvl="2" w:tplc="2AA20A20">
      <w:numFmt w:val="bullet"/>
      <w:lvlText w:val="•"/>
      <w:lvlJc w:val="left"/>
      <w:pPr>
        <w:ind w:left="3456" w:hanging="496"/>
      </w:pPr>
      <w:rPr>
        <w:rFonts w:hint="default"/>
      </w:rPr>
    </w:lvl>
    <w:lvl w:ilvl="3" w:tplc="AE02FA62">
      <w:numFmt w:val="bullet"/>
      <w:lvlText w:val="•"/>
      <w:lvlJc w:val="left"/>
      <w:pPr>
        <w:ind w:left="4124" w:hanging="496"/>
      </w:pPr>
      <w:rPr>
        <w:rFonts w:hint="default"/>
      </w:rPr>
    </w:lvl>
    <w:lvl w:ilvl="4" w:tplc="1F869D2C">
      <w:numFmt w:val="bullet"/>
      <w:lvlText w:val="•"/>
      <w:lvlJc w:val="left"/>
      <w:pPr>
        <w:ind w:left="4792" w:hanging="496"/>
      </w:pPr>
      <w:rPr>
        <w:rFonts w:hint="default"/>
      </w:rPr>
    </w:lvl>
    <w:lvl w:ilvl="5" w:tplc="1B5A9DE6">
      <w:numFmt w:val="bullet"/>
      <w:lvlText w:val="•"/>
      <w:lvlJc w:val="left"/>
      <w:pPr>
        <w:ind w:left="5460" w:hanging="496"/>
      </w:pPr>
      <w:rPr>
        <w:rFonts w:hint="default"/>
      </w:rPr>
    </w:lvl>
    <w:lvl w:ilvl="6" w:tplc="1EE002E0">
      <w:numFmt w:val="bullet"/>
      <w:lvlText w:val="•"/>
      <w:lvlJc w:val="left"/>
      <w:pPr>
        <w:ind w:left="6128" w:hanging="496"/>
      </w:pPr>
      <w:rPr>
        <w:rFonts w:hint="default"/>
      </w:rPr>
    </w:lvl>
    <w:lvl w:ilvl="7" w:tplc="BE0440A8">
      <w:numFmt w:val="bullet"/>
      <w:lvlText w:val="•"/>
      <w:lvlJc w:val="left"/>
      <w:pPr>
        <w:ind w:left="6796" w:hanging="496"/>
      </w:pPr>
      <w:rPr>
        <w:rFonts w:hint="default"/>
      </w:rPr>
    </w:lvl>
    <w:lvl w:ilvl="8" w:tplc="F6CE014A">
      <w:numFmt w:val="bullet"/>
      <w:lvlText w:val="•"/>
      <w:lvlJc w:val="left"/>
      <w:pPr>
        <w:ind w:left="7464" w:hanging="496"/>
      </w:pPr>
      <w:rPr>
        <w:rFonts w:hint="default"/>
      </w:rPr>
    </w:lvl>
  </w:abstractNum>
  <w:abstractNum w:abstractNumId="43" w15:restartNumberingAfterBreak="0">
    <w:nsid w:val="6274498A"/>
    <w:multiLevelType w:val="hybridMultilevel"/>
    <w:tmpl w:val="BFE406BC"/>
    <w:lvl w:ilvl="0" w:tplc="1B90D2C8">
      <w:start w:val="3"/>
      <w:numFmt w:val="decimal"/>
      <w:lvlText w:val="[%1]"/>
      <w:lvlJc w:val="left"/>
      <w:pPr>
        <w:ind w:left="2041" w:hanging="496"/>
        <w:jc w:val="right"/>
      </w:pPr>
      <w:rPr>
        <w:rFonts w:ascii="Times New Roman" w:eastAsia="Times New Roman" w:hAnsi="Times New Roman" w:cs="Times New Roman" w:hint="default"/>
        <w:b/>
        <w:bCs/>
        <w:color w:val="231F20"/>
        <w:w w:val="99"/>
        <w:sz w:val="22"/>
        <w:szCs w:val="22"/>
      </w:rPr>
    </w:lvl>
    <w:lvl w:ilvl="1" w:tplc="C6368958">
      <w:numFmt w:val="bullet"/>
      <w:lvlText w:val="•"/>
      <w:lvlJc w:val="left"/>
      <w:pPr>
        <w:ind w:left="2716" w:hanging="496"/>
      </w:pPr>
      <w:rPr>
        <w:rFonts w:hint="default"/>
      </w:rPr>
    </w:lvl>
    <w:lvl w:ilvl="2" w:tplc="5906BB46">
      <w:numFmt w:val="bullet"/>
      <w:lvlText w:val="•"/>
      <w:lvlJc w:val="left"/>
      <w:pPr>
        <w:ind w:left="3392" w:hanging="496"/>
      </w:pPr>
      <w:rPr>
        <w:rFonts w:hint="default"/>
      </w:rPr>
    </w:lvl>
    <w:lvl w:ilvl="3" w:tplc="20A48FFA">
      <w:numFmt w:val="bullet"/>
      <w:lvlText w:val="•"/>
      <w:lvlJc w:val="left"/>
      <w:pPr>
        <w:ind w:left="4068" w:hanging="496"/>
      </w:pPr>
      <w:rPr>
        <w:rFonts w:hint="default"/>
      </w:rPr>
    </w:lvl>
    <w:lvl w:ilvl="4" w:tplc="11D6A294">
      <w:numFmt w:val="bullet"/>
      <w:lvlText w:val="•"/>
      <w:lvlJc w:val="left"/>
      <w:pPr>
        <w:ind w:left="4744" w:hanging="496"/>
      </w:pPr>
      <w:rPr>
        <w:rFonts w:hint="default"/>
      </w:rPr>
    </w:lvl>
    <w:lvl w:ilvl="5" w:tplc="A524FA7E">
      <w:numFmt w:val="bullet"/>
      <w:lvlText w:val="•"/>
      <w:lvlJc w:val="left"/>
      <w:pPr>
        <w:ind w:left="5420" w:hanging="496"/>
      </w:pPr>
      <w:rPr>
        <w:rFonts w:hint="default"/>
      </w:rPr>
    </w:lvl>
    <w:lvl w:ilvl="6" w:tplc="590C9F0A">
      <w:numFmt w:val="bullet"/>
      <w:lvlText w:val="•"/>
      <w:lvlJc w:val="left"/>
      <w:pPr>
        <w:ind w:left="6096" w:hanging="496"/>
      </w:pPr>
      <w:rPr>
        <w:rFonts w:hint="default"/>
      </w:rPr>
    </w:lvl>
    <w:lvl w:ilvl="7" w:tplc="CC50CEC8">
      <w:numFmt w:val="bullet"/>
      <w:lvlText w:val="•"/>
      <w:lvlJc w:val="left"/>
      <w:pPr>
        <w:ind w:left="6772" w:hanging="496"/>
      </w:pPr>
      <w:rPr>
        <w:rFonts w:hint="default"/>
      </w:rPr>
    </w:lvl>
    <w:lvl w:ilvl="8" w:tplc="5E72A81E">
      <w:numFmt w:val="bullet"/>
      <w:lvlText w:val="•"/>
      <w:lvlJc w:val="left"/>
      <w:pPr>
        <w:ind w:left="7448" w:hanging="496"/>
      </w:pPr>
      <w:rPr>
        <w:rFonts w:hint="default"/>
      </w:rPr>
    </w:lvl>
  </w:abstractNum>
  <w:abstractNum w:abstractNumId="44" w15:restartNumberingAfterBreak="0">
    <w:nsid w:val="636E41AA"/>
    <w:multiLevelType w:val="hybridMultilevel"/>
    <w:tmpl w:val="FBCED77A"/>
    <w:lvl w:ilvl="0" w:tplc="48F0A4E0">
      <w:start w:val="1"/>
      <w:numFmt w:val="decimal"/>
      <w:lvlText w:val="[%1]"/>
      <w:lvlJc w:val="left"/>
      <w:pPr>
        <w:ind w:left="1542" w:hanging="496"/>
      </w:pPr>
      <w:rPr>
        <w:rFonts w:ascii="Times New Roman" w:eastAsia="Times New Roman" w:hAnsi="Times New Roman" w:cs="Times New Roman" w:hint="default"/>
        <w:b/>
        <w:bCs/>
        <w:color w:val="231F20"/>
        <w:w w:val="9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71A28B2"/>
    <w:multiLevelType w:val="hybridMultilevel"/>
    <w:tmpl w:val="BDD4FB36"/>
    <w:lvl w:ilvl="0" w:tplc="E0E41472">
      <w:start w:val="1"/>
      <w:numFmt w:val="decimal"/>
      <w:lvlText w:val="[%1]"/>
      <w:lvlJc w:val="left"/>
      <w:pPr>
        <w:ind w:left="3262" w:hanging="1757"/>
      </w:pPr>
      <w:rPr>
        <w:rFonts w:ascii="Times New Roman" w:eastAsia="Times New Roman" w:hAnsi="Times New Roman" w:cs="Times New Roman" w:hint="default"/>
        <w:color w:val="231F20"/>
        <w:w w:val="99"/>
        <w:sz w:val="20"/>
        <w:szCs w:val="20"/>
      </w:rPr>
    </w:lvl>
    <w:lvl w:ilvl="1" w:tplc="A46AF98E">
      <w:numFmt w:val="bullet"/>
      <w:lvlText w:val="•"/>
      <w:lvlJc w:val="left"/>
      <w:pPr>
        <w:ind w:left="3814" w:hanging="1757"/>
      </w:pPr>
      <w:rPr>
        <w:rFonts w:hint="default"/>
      </w:rPr>
    </w:lvl>
    <w:lvl w:ilvl="2" w:tplc="46A49936">
      <w:numFmt w:val="bullet"/>
      <w:lvlText w:val="•"/>
      <w:lvlJc w:val="left"/>
      <w:pPr>
        <w:ind w:left="4368" w:hanging="1757"/>
      </w:pPr>
      <w:rPr>
        <w:rFonts w:hint="default"/>
      </w:rPr>
    </w:lvl>
    <w:lvl w:ilvl="3" w:tplc="25BA9C24">
      <w:numFmt w:val="bullet"/>
      <w:lvlText w:val="•"/>
      <w:lvlJc w:val="left"/>
      <w:pPr>
        <w:ind w:left="4922" w:hanging="1757"/>
      </w:pPr>
      <w:rPr>
        <w:rFonts w:hint="default"/>
      </w:rPr>
    </w:lvl>
    <w:lvl w:ilvl="4" w:tplc="B20ACCF6">
      <w:numFmt w:val="bullet"/>
      <w:lvlText w:val="•"/>
      <w:lvlJc w:val="left"/>
      <w:pPr>
        <w:ind w:left="5476" w:hanging="1757"/>
      </w:pPr>
      <w:rPr>
        <w:rFonts w:hint="default"/>
      </w:rPr>
    </w:lvl>
    <w:lvl w:ilvl="5" w:tplc="71F66B62">
      <w:numFmt w:val="bullet"/>
      <w:lvlText w:val="•"/>
      <w:lvlJc w:val="left"/>
      <w:pPr>
        <w:ind w:left="6030" w:hanging="1757"/>
      </w:pPr>
      <w:rPr>
        <w:rFonts w:hint="default"/>
      </w:rPr>
    </w:lvl>
    <w:lvl w:ilvl="6" w:tplc="F338677C">
      <w:numFmt w:val="bullet"/>
      <w:lvlText w:val="•"/>
      <w:lvlJc w:val="left"/>
      <w:pPr>
        <w:ind w:left="6584" w:hanging="1757"/>
      </w:pPr>
      <w:rPr>
        <w:rFonts w:hint="default"/>
      </w:rPr>
    </w:lvl>
    <w:lvl w:ilvl="7" w:tplc="A1466E06">
      <w:numFmt w:val="bullet"/>
      <w:lvlText w:val="•"/>
      <w:lvlJc w:val="left"/>
      <w:pPr>
        <w:ind w:left="7138" w:hanging="1757"/>
      </w:pPr>
      <w:rPr>
        <w:rFonts w:hint="default"/>
      </w:rPr>
    </w:lvl>
    <w:lvl w:ilvl="8" w:tplc="7C483600">
      <w:numFmt w:val="bullet"/>
      <w:lvlText w:val="•"/>
      <w:lvlJc w:val="left"/>
      <w:pPr>
        <w:ind w:left="7692" w:hanging="1757"/>
      </w:pPr>
      <w:rPr>
        <w:rFonts w:hint="default"/>
      </w:rPr>
    </w:lvl>
  </w:abstractNum>
  <w:abstractNum w:abstractNumId="46" w15:restartNumberingAfterBreak="0">
    <w:nsid w:val="679D3D0F"/>
    <w:multiLevelType w:val="hybridMultilevel"/>
    <w:tmpl w:val="52F61D30"/>
    <w:lvl w:ilvl="0" w:tplc="09A0982E">
      <w:start w:val="1"/>
      <w:numFmt w:val="decimal"/>
      <w:lvlText w:val="[%1]"/>
      <w:lvlJc w:val="left"/>
      <w:pPr>
        <w:ind w:left="2803" w:hanging="1757"/>
      </w:pPr>
      <w:rPr>
        <w:rFonts w:ascii="Times New Roman" w:eastAsia="Times New Roman" w:hAnsi="Times New Roman" w:cs="Times New Roman" w:hint="default"/>
        <w:color w:val="231F20"/>
        <w:w w:val="99"/>
        <w:sz w:val="20"/>
        <w:szCs w:val="20"/>
      </w:rPr>
    </w:lvl>
    <w:lvl w:ilvl="1" w:tplc="BEA2F2E6">
      <w:numFmt w:val="bullet"/>
      <w:lvlText w:val="•"/>
      <w:lvlJc w:val="left"/>
      <w:pPr>
        <w:ind w:left="3400" w:hanging="1757"/>
      </w:pPr>
      <w:rPr>
        <w:rFonts w:hint="default"/>
      </w:rPr>
    </w:lvl>
    <w:lvl w:ilvl="2" w:tplc="EE9672F4">
      <w:numFmt w:val="bullet"/>
      <w:lvlText w:val="•"/>
      <w:lvlJc w:val="left"/>
      <w:pPr>
        <w:ind w:left="4000" w:hanging="1757"/>
      </w:pPr>
      <w:rPr>
        <w:rFonts w:hint="default"/>
      </w:rPr>
    </w:lvl>
    <w:lvl w:ilvl="3" w:tplc="7D1C0C1C">
      <w:numFmt w:val="bullet"/>
      <w:lvlText w:val="•"/>
      <w:lvlJc w:val="left"/>
      <w:pPr>
        <w:ind w:left="4600" w:hanging="1757"/>
      </w:pPr>
      <w:rPr>
        <w:rFonts w:hint="default"/>
      </w:rPr>
    </w:lvl>
    <w:lvl w:ilvl="4" w:tplc="0C02FDC4">
      <w:numFmt w:val="bullet"/>
      <w:lvlText w:val="•"/>
      <w:lvlJc w:val="left"/>
      <w:pPr>
        <w:ind w:left="5200" w:hanging="1757"/>
      </w:pPr>
      <w:rPr>
        <w:rFonts w:hint="default"/>
      </w:rPr>
    </w:lvl>
    <w:lvl w:ilvl="5" w:tplc="0A884464">
      <w:numFmt w:val="bullet"/>
      <w:lvlText w:val="•"/>
      <w:lvlJc w:val="left"/>
      <w:pPr>
        <w:ind w:left="5800" w:hanging="1757"/>
      </w:pPr>
      <w:rPr>
        <w:rFonts w:hint="default"/>
      </w:rPr>
    </w:lvl>
    <w:lvl w:ilvl="6" w:tplc="44AA84F6">
      <w:numFmt w:val="bullet"/>
      <w:lvlText w:val="•"/>
      <w:lvlJc w:val="left"/>
      <w:pPr>
        <w:ind w:left="6400" w:hanging="1757"/>
      </w:pPr>
      <w:rPr>
        <w:rFonts w:hint="default"/>
      </w:rPr>
    </w:lvl>
    <w:lvl w:ilvl="7" w:tplc="43E414DE">
      <w:numFmt w:val="bullet"/>
      <w:lvlText w:val="•"/>
      <w:lvlJc w:val="left"/>
      <w:pPr>
        <w:ind w:left="7000" w:hanging="1757"/>
      </w:pPr>
      <w:rPr>
        <w:rFonts w:hint="default"/>
      </w:rPr>
    </w:lvl>
    <w:lvl w:ilvl="8" w:tplc="D5B64914">
      <w:numFmt w:val="bullet"/>
      <w:lvlText w:val="•"/>
      <w:lvlJc w:val="left"/>
      <w:pPr>
        <w:ind w:left="7600" w:hanging="1757"/>
      </w:pPr>
      <w:rPr>
        <w:rFonts w:hint="default"/>
      </w:rPr>
    </w:lvl>
  </w:abstractNum>
  <w:abstractNum w:abstractNumId="47" w15:restartNumberingAfterBreak="0">
    <w:nsid w:val="69006FED"/>
    <w:multiLevelType w:val="hybridMultilevel"/>
    <w:tmpl w:val="56928E2E"/>
    <w:lvl w:ilvl="0" w:tplc="16368C28">
      <w:start w:val="1"/>
      <w:numFmt w:val="decimal"/>
      <w:lvlText w:val="[%1]"/>
      <w:lvlJc w:val="left"/>
      <w:pPr>
        <w:ind w:left="1306" w:hanging="496"/>
        <w:jc w:val="right"/>
      </w:pPr>
      <w:rPr>
        <w:rFonts w:ascii="Times New Roman" w:eastAsia="Times New Roman" w:hAnsi="Times New Roman" w:cs="Times New Roman" w:hint="default"/>
        <w:b/>
        <w:bCs/>
        <w:color w:val="231F20"/>
        <w:w w:val="99"/>
        <w:sz w:val="22"/>
        <w:szCs w:val="22"/>
      </w:rPr>
    </w:lvl>
    <w:lvl w:ilvl="1" w:tplc="64A44140">
      <w:numFmt w:val="bullet"/>
      <w:lvlText w:val="•"/>
      <w:lvlJc w:val="left"/>
      <w:pPr>
        <w:ind w:left="1973" w:hanging="496"/>
      </w:pPr>
      <w:rPr>
        <w:rFonts w:hint="default"/>
      </w:rPr>
    </w:lvl>
    <w:lvl w:ilvl="2" w:tplc="95508912">
      <w:numFmt w:val="bullet"/>
      <w:lvlText w:val="•"/>
      <w:lvlJc w:val="left"/>
      <w:pPr>
        <w:ind w:left="2641" w:hanging="496"/>
      </w:pPr>
      <w:rPr>
        <w:rFonts w:hint="default"/>
      </w:rPr>
    </w:lvl>
    <w:lvl w:ilvl="3" w:tplc="1154076E">
      <w:numFmt w:val="bullet"/>
      <w:lvlText w:val="•"/>
      <w:lvlJc w:val="left"/>
      <w:pPr>
        <w:ind w:left="3309" w:hanging="496"/>
      </w:pPr>
      <w:rPr>
        <w:rFonts w:hint="default"/>
      </w:rPr>
    </w:lvl>
    <w:lvl w:ilvl="4" w:tplc="61A4650E">
      <w:numFmt w:val="bullet"/>
      <w:lvlText w:val="•"/>
      <w:lvlJc w:val="left"/>
      <w:pPr>
        <w:ind w:left="3977" w:hanging="496"/>
      </w:pPr>
      <w:rPr>
        <w:rFonts w:hint="default"/>
      </w:rPr>
    </w:lvl>
    <w:lvl w:ilvl="5" w:tplc="4D448E40">
      <w:numFmt w:val="bullet"/>
      <w:lvlText w:val="•"/>
      <w:lvlJc w:val="left"/>
      <w:pPr>
        <w:ind w:left="4645" w:hanging="496"/>
      </w:pPr>
      <w:rPr>
        <w:rFonts w:hint="default"/>
      </w:rPr>
    </w:lvl>
    <w:lvl w:ilvl="6" w:tplc="C506F048">
      <w:numFmt w:val="bullet"/>
      <w:lvlText w:val="•"/>
      <w:lvlJc w:val="left"/>
      <w:pPr>
        <w:ind w:left="5313" w:hanging="496"/>
      </w:pPr>
      <w:rPr>
        <w:rFonts w:hint="default"/>
      </w:rPr>
    </w:lvl>
    <w:lvl w:ilvl="7" w:tplc="BD3087F6">
      <w:numFmt w:val="bullet"/>
      <w:lvlText w:val="•"/>
      <w:lvlJc w:val="left"/>
      <w:pPr>
        <w:ind w:left="5981" w:hanging="496"/>
      </w:pPr>
      <w:rPr>
        <w:rFonts w:hint="default"/>
      </w:rPr>
    </w:lvl>
    <w:lvl w:ilvl="8" w:tplc="4A564CC8">
      <w:numFmt w:val="bullet"/>
      <w:lvlText w:val="•"/>
      <w:lvlJc w:val="left"/>
      <w:pPr>
        <w:ind w:left="6649" w:hanging="496"/>
      </w:pPr>
      <w:rPr>
        <w:rFonts w:hint="default"/>
      </w:rPr>
    </w:lvl>
  </w:abstractNum>
  <w:abstractNum w:abstractNumId="48" w15:restartNumberingAfterBreak="0">
    <w:nsid w:val="6B380865"/>
    <w:multiLevelType w:val="hybridMultilevel"/>
    <w:tmpl w:val="4BAEB9D6"/>
    <w:lvl w:ilvl="0" w:tplc="F2D8FBDC">
      <w:start w:val="1"/>
      <w:numFmt w:val="decimal"/>
      <w:lvlText w:val="[%1]"/>
      <w:lvlJc w:val="left"/>
      <w:pPr>
        <w:ind w:left="2121" w:hanging="496"/>
      </w:pPr>
      <w:rPr>
        <w:rFonts w:ascii="Times New Roman" w:eastAsia="Times New Roman" w:hAnsi="Times New Roman" w:cs="Times New Roman" w:hint="default"/>
        <w:b/>
        <w:bCs/>
        <w:color w:val="231F2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774B3E"/>
    <w:multiLevelType w:val="hybridMultilevel"/>
    <w:tmpl w:val="874E4C36"/>
    <w:lvl w:ilvl="0" w:tplc="3AD8FB40">
      <w:start w:val="2"/>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474A7860">
      <w:start w:val="1"/>
      <w:numFmt w:val="lowerLetter"/>
      <w:lvlText w:val="[%2]"/>
      <w:lvlJc w:val="left"/>
      <w:pPr>
        <w:ind w:left="1440" w:hanging="360"/>
      </w:pPr>
      <w:rPr>
        <w:rFonts w:ascii="Times New Roman" w:eastAsia="Times New Roman" w:hAnsi="Times New Roman" w:cs="Times New Roman" w:hint="default"/>
        <w:b/>
        <w:bCs/>
        <w:color w:val="231F20"/>
        <w:w w:val="99"/>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854CEF"/>
    <w:multiLevelType w:val="hybridMultilevel"/>
    <w:tmpl w:val="62165C88"/>
    <w:lvl w:ilvl="0" w:tplc="3544E9B4">
      <w:start w:val="5"/>
      <w:numFmt w:val="decimal"/>
      <w:lvlText w:val="[%1]"/>
      <w:lvlJc w:val="left"/>
      <w:pPr>
        <w:ind w:left="2121" w:hanging="496"/>
      </w:pPr>
      <w:rPr>
        <w:rFonts w:ascii="Times New Roman" w:eastAsia="Times New Roman" w:hAnsi="Times New Roman" w:cs="Times New Roman" w:hint="default"/>
        <w:b/>
        <w:bCs/>
        <w:color w:val="231F20"/>
        <w:w w:val="99"/>
        <w:sz w:val="22"/>
        <w:szCs w:val="22"/>
      </w:rPr>
    </w:lvl>
    <w:lvl w:ilvl="1" w:tplc="5BFC4F2E">
      <w:numFmt w:val="bullet"/>
      <w:lvlText w:val="•"/>
      <w:lvlJc w:val="left"/>
      <w:pPr>
        <w:ind w:left="2788" w:hanging="496"/>
      </w:pPr>
      <w:rPr>
        <w:rFonts w:hint="default"/>
      </w:rPr>
    </w:lvl>
    <w:lvl w:ilvl="2" w:tplc="E7DED820">
      <w:numFmt w:val="bullet"/>
      <w:lvlText w:val="•"/>
      <w:lvlJc w:val="left"/>
      <w:pPr>
        <w:ind w:left="3456" w:hanging="496"/>
      </w:pPr>
      <w:rPr>
        <w:rFonts w:hint="default"/>
      </w:rPr>
    </w:lvl>
    <w:lvl w:ilvl="3" w:tplc="D75A3BEC">
      <w:numFmt w:val="bullet"/>
      <w:lvlText w:val="•"/>
      <w:lvlJc w:val="left"/>
      <w:pPr>
        <w:ind w:left="4124" w:hanging="496"/>
      </w:pPr>
      <w:rPr>
        <w:rFonts w:hint="default"/>
      </w:rPr>
    </w:lvl>
    <w:lvl w:ilvl="4" w:tplc="40D0F532">
      <w:numFmt w:val="bullet"/>
      <w:lvlText w:val="•"/>
      <w:lvlJc w:val="left"/>
      <w:pPr>
        <w:ind w:left="4792" w:hanging="496"/>
      </w:pPr>
      <w:rPr>
        <w:rFonts w:hint="default"/>
      </w:rPr>
    </w:lvl>
    <w:lvl w:ilvl="5" w:tplc="21A8833C">
      <w:numFmt w:val="bullet"/>
      <w:lvlText w:val="•"/>
      <w:lvlJc w:val="left"/>
      <w:pPr>
        <w:ind w:left="5460" w:hanging="496"/>
      </w:pPr>
      <w:rPr>
        <w:rFonts w:hint="default"/>
      </w:rPr>
    </w:lvl>
    <w:lvl w:ilvl="6" w:tplc="2064226A">
      <w:numFmt w:val="bullet"/>
      <w:lvlText w:val="•"/>
      <w:lvlJc w:val="left"/>
      <w:pPr>
        <w:ind w:left="6128" w:hanging="496"/>
      </w:pPr>
      <w:rPr>
        <w:rFonts w:hint="default"/>
      </w:rPr>
    </w:lvl>
    <w:lvl w:ilvl="7" w:tplc="C8AA9FBC">
      <w:numFmt w:val="bullet"/>
      <w:lvlText w:val="•"/>
      <w:lvlJc w:val="left"/>
      <w:pPr>
        <w:ind w:left="6796" w:hanging="496"/>
      </w:pPr>
      <w:rPr>
        <w:rFonts w:hint="default"/>
      </w:rPr>
    </w:lvl>
    <w:lvl w:ilvl="8" w:tplc="616E30B0">
      <w:numFmt w:val="bullet"/>
      <w:lvlText w:val="•"/>
      <w:lvlJc w:val="left"/>
      <w:pPr>
        <w:ind w:left="7464" w:hanging="496"/>
      </w:pPr>
      <w:rPr>
        <w:rFonts w:hint="default"/>
      </w:rPr>
    </w:lvl>
  </w:abstractNum>
  <w:abstractNum w:abstractNumId="51" w15:restartNumberingAfterBreak="0">
    <w:nsid w:val="6DB76769"/>
    <w:multiLevelType w:val="hybridMultilevel"/>
    <w:tmpl w:val="599629EC"/>
    <w:lvl w:ilvl="0" w:tplc="AE78BAC2">
      <w:start w:val="1"/>
      <w:numFmt w:val="decimal"/>
      <w:lvlText w:val="[%1]"/>
      <w:lvlJc w:val="left"/>
      <w:pPr>
        <w:ind w:left="2121" w:hanging="496"/>
      </w:pPr>
      <w:rPr>
        <w:rFonts w:ascii="Times New Roman" w:eastAsia="Times New Roman" w:hAnsi="Times New Roman" w:cs="Times New Roman" w:hint="default"/>
        <w:b/>
        <w:bCs/>
        <w:color w:val="231F20"/>
        <w:w w:val="99"/>
        <w:sz w:val="22"/>
        <w:szCs w:val="22"/>
      </w:rPr>
    </w:lvl>
    <w:lvl w:ilvl="1" w:tplc="EE3025F0">
      <w:numFmt w:val="bullet"/>
      <w:lvlText w:val="•"/>
      <w:lvlJc w:val="left"/>
      <w:pPr>
        <w:ind w:left="2788" w:hanging="496"/>
      </w:pPr>
      <w:rPr>
        <w:rFonts w:hint="default"/>
      </w:rPr>
    </w:lvl>
    <w:lvl w:ilvl="2" w:tplc="B1B61FB8">
      <w:numFmt w:val="bullet"/>
      <w:lvlText w:val="•"/>
      <w:lvlJc w:val="left"/>
      <w:pPr>
        <w:ind w:left="3456" w:hanging="496"/>
      </w:pPr>
      <w:rPr>
        <w:rFonts w:hint="default"/>
      </w:rPr>
    </w:lvl>
    <w:lvl w:ilvl="3" w:tplc="5FC4359E">
      <w:numFmt w:val="bullet"/>
      <w:lvlText w:val="•"/>
      <w:lvlJc w:val="left"/>
      <w:pPr>
        <w:ind w:left="4124" w:hanging="496"/>
      </w:pPr>
      <w:rPr>
        <w:rFonts w:hint="default"/>
      </w:rPr>
    </w:lvl>
    <w:lvl w:ilvl="4" w:tplc="5E02F648">
      <w:numFmt w:val="bullet"/>
      <w:lvlText w:val="•"/>
      <w:lvlJc w:val="left"/>
      <w:pPr>
        <w:ind w:left="4792" w:hanging="496"/>
      </w:pPr>
      <w:rPr>
        <w:rFonts w:hint="default"/>
      </w:rPr>
    </w:lvl>
    <w:lvl w:ilvl="5" w:tplc="D69CDC02">
      <w:numFmt w:val="bullet"/>
      <w:lvlText w:val="•"/>
      <w:lvlJc w:val="left"/>
      <w:pPr>
        <w:ind w:left="5460" w:hanging="496"/>
      </w:pPr>
      <w:rPr>
        <w:rFonts w:hint="default"/>
      </w:rPr>
    </w:lvl>
    <w:lvl w:ilvl="6" w:tplc="C436052A">
      <w:numFmt w:val="bullet"/>
      <w:lvlText w:val="•"/>
      <w:lvlJc w:val="left"/>
      <w:pPr>
        <w:ind w:left="6128" w:hanging="496"/>
      </w:pPr>
      <w:rPr>
        <w:rFonts w:hint="default"/>
      </w:rPr>
    </w:lvl>
    <w:lvl w:ilvl="7" w:tplc="8C263280">
      <w:numFmt w:val="bullet"/>
      <w:lvlText w:val="•"/>
      <w:lvlJc w:val="left"/>
      <w:pPr>
        <w:ind w:left="6796" w:hanging="496"/>
      </w:pPr>
      <w:rPr>
        <w:rFonts w:hint="default"/>
      </w:rPr>
    </w:lvl>
    <w:lvl w:ilvl="8" w:tplc="B9C2E0B4">
      <w:numFmt w:val="bullet"/>
      <w:lvlText w:val="•"/>
      <w:lvlJc w:val="left"/>
      <w:pPr>
        <w:ind w:left="7464" w:hanging="496"/>
      </w:pPr>
      <w:rPr>
        <w:rFonts w:hint="default"/>
      </w:rPr>
    </w:lvl>
  </w:abstractNum>
  <w:abstractNum w:abstractNumId="52" w15:restartNumberingAfterBreak="0">
    <w:nsid w:val="72A039B1"/>
    <w:multiLevelType w:val="hybridMultilevel"/>
    <w:tmpl w:val="E698138A"/>
    <w:lvl w:ilvl="0" w:tplc="019C229E">
      <w:start w:val="6"/>
      <w:numFmt w:val="decimal"/>
      <w:lvlText w:val="[%1]"/>
      <w:lvlJc w:val="left"/>
      <w:pPr>
        <w:ind w:left="1306" w:hanging="496"/>
      </w:pPr>
      <w:rPr>
        <w:rFonts w:ascii="Times New Roman" w:eastAsia="Times New Roman" w:hAnsi="Times New Roman" w:cs="Times New Roman" w:hint="default"/>
        <w:b/>
        <w:bCs/>
        <w:color w:val="231F2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E3759EF"/>
    <w:multiLevelType w:val="hybridMultilevel"/>
    <w:tmpl w:val="CA582D7C"/>
    <w:lvl w:ilvl="0" w:tplc="67E2D132">
      <w:start w:val="4"/>
      <w:numFmt w:val="decimal"/>
      <w:lvlText w:val="[%1]"/>
      <w:lvlJc w:val="left"/>
      <w:pPr>
        <w:ind w:left="3262" w:hanging="1757"/>
      </w:pPr>
      <w:rPr>
        <w:rFonts w:ascii="Times New Roman" w:eastAsia="Times New Roman" w:hAnsi="Times New Roman" w:cs="Times New Roman" w:hint="default"/>
        <w:color w:val="231F20"/>
        <w:w w:val="99"/>
        <w:sz w:val="20"/>
        <w:szCs w:val="20"/>
      </w:rPr>
    </w:lvl>
    <w:lvl w:ilvl="1" w:tplc="1F009312">
      <w:numFmt w:val="bullet"/>
      <w:lvlText w:val="•"/>
      <w:lvlJc w:val="left"/>
      <w:pPr>
        <w:ind w:left="3814" w:hanging="1757"/>
      </w:pPr>
      <w:rPr>
        <w:rFonts w:hint="default"/>
      </w:rPr>
    </w:lvl>
    <w:lvl w:ilvl="2" w:tplc="919CBA52">
      <w:numFmt w:val="bullet"/>
      <w:lvlText w:val="•"/>
      <w:lvlJc w:val="left"/>
      <w:pPr>
        <w:ind w:left="4368" w:hanging="1757"/>
      </w:pPr>
      <w:rPr>
        <w:rFonts w:hint="default"/>
      </w:rPr>
    </w:lvl>
    <w:lvl w:ilvl="3" w:tplc="7CA43BFA">
      <w:numFmt w:val="bullet"/>
      <w:lvlText w:val="•"/>
      <w:lvlJc w:val="left"/>
      <w:pPr>
        <w:ind w:left="4922" w:hanging="1757"/>
      </w:pPr>
      <w:rPr>
        <w:rFonts w:hint="default"/>
      </w:rPr>
    </w:lvl>
    <w:lvl w:ilvl="4" w:tplc="5A2E2564">
      <w:numFmt w:val="bullet"/>
      <w:lvlText w:val="•"/>
      <w:lvlJc w:val="left"/>
      <w:pPr>
        <w:ind w:left="5476" w:hanging="1757"/>
      </w:pPr>
      <w:rPr>
        <w:rFonts w:hint="default"/>
      </w:rPr>
    </w:lvl>
    <w:lvl w:ilvl="5" w:tplc="C3262D54">
      <w:numFmt w:val="bullet"/>
      <w:lvlText w:val="•"/>
      <w:lvlJc w:val="left"/>
      <w:pPr>
        <w:ind w:left="6030" w:hanging="1757"/>
      </w:pPr>
      <w:rPr>
        <w:rFonts w:hint="default"/>
      </w:rPr>
    </w:lvl>
    <w:lvl w:ilvl="6" w:tplc="52B6935C">
      <w:numFmt w:val="bullet"/>
      <w:lvlText w:val="•"/>
      <w:lvlJc w:val="left"/>
      <w:pPr>
        <w:ind w:left="6584" w:hanging="1757"/>
      </w:pPr>
      <w:rPr>
        <w:rFonts w:hint="default"/>
      </w:rPr>
    </w:lvl>
    <w:lvl w:ilvl="7" w:tplc="C13CC1A0">
      <w:numFmt w:val="bullet"/>
      <w:lvlText w:val="•"/>
      <w:lvlJc w:val="left"/>
      <w:pPr>
        <w:ind w:left="7138" w:hanging="1757"/>
      </w:pPr>
      <w:rPr>
        <w:rFonts w:hint="default"/>
      </w:rPr>
    </w:lvl>
    <w:lvl w:ilvl="8" w:tplc="9D6A9852">
      <w:numFmt w:val="bullet"/>
      <w:lvlText w:val="•"/>
      <w:lvlJc w:val="left"/>
      <w:pPr>
        <w:ind w:left="7692" w:hanging="1757"/>
      </w:pPr>
      <w:rPr>
        <w:rFonts w:hint="default"/>
      </w:rPr>
    </w:lvl>
  </w:abstractNum>
  <w:abstractNum w:abstractNumId="54" w15:restartNumberingAfterBreak="0">
    <w:nsid w:val="7E763DB3"/>
    <w:multiLevelType w:val="hybridMultilevel"/>
    <w:tmpl w:val="8158827C"/>
    <w:lvl w:ilvl="0" w:tplc="54CA3C44">
      <w:start w:val="3"/>
      <w:numFmt w:val="decimal"/>
      <w:lvlText w:val="[%1]"/>
      <w:lvlJc w:val="left"/>
      <w:pPr>
        <w:ind w:left="2041" w:hanging="496"/>
      </w:pPr>
      <w:rPr>
        <w:rFonts w:ascii="Times New Roman" w:eastAsia="Times New Roman" w:hAnsi="Times New Roman" w:cs="Times New Roman" w:hint="default"/>
        <w:b/>
        <w:bCs/>
        <w:color w:val="231F20"/>
        <w:w w:val="99"/>
        <w:sz w:val="22"/>
        <w:szCs w:val="22"/>
      </w:rPr>
    </w:lvl>
    <w:lvl w:ilvl="1" w:tplc="5544A552">
      <w:numFmt w:val="bullet"/>
      <w:lvlText w:val="•"/>
      <w:lvlJc w:val="left"/>
      <w:pPr>
        <w:ind w:left="2716" w:hanging="496"/>
      </w:pPr>
      <w:rPr>
        <w:rFonts w:hint="default"/>
      </w:rPr>
    </w:lvl>
    <w:lvl w:ilvl="2" w:tplc="B574BB8C">
      <w:numFmt w:val="bullet"/>
      <w:lvlText w:val="•"/>
      <w:lvlJc w:val="left"/>
      <w:pPr>
        <w:ind w:left="3392" w:hanging="496"/>
      </w:pPr>
      <w:rPr>
        <w:rFonts w:hint="default"/>
      </w:rPr>
    </w:lvl>
    <w:lvl w:ilvl="3" w:tplc="9822C68A">
      <w:numFmt w:val="bullet"/>
      <w:lvlText w:val="•"/>
      <w:lvlJc w:val="left"/>
      <w:pPr>
        <w:ind w:left="4068" w:hanging="496"/>
      </w:pPr>
      <w:rPr>
        <w:rFonts w:hint="default"/>
      </w:rPr>
    </w:lvl>
    <w:lvl w:ilvl="4" w:tplc="2B5029F4">
      <w:numFmt w:val="bullet"/>
      <w:lvlText w:val="•"/>
      <w:lvlJc w:val="left"/>
      <w:pPr>
        <w:ind w:left="4744" w:hanging="496"/>
      </w:pPr>
      <w:rPr>
        <w:rFonts w:hint="default"/>
      </w:rPr>
    </w:lvl>
    <w:lvl w:ilvl="5" w:tplc="EC20464A">
      <w:numFmt w:val="bullet"/>
      <w:lvlText w:val="•"/>
      <w:lvlJc w:val="left"/>
      <w:pPr>
        <w:ind w:left="5420" w:hanging="496"/>
      </w:pPr>
      <w:rPr>
        <w:rFonts w:hint="default"/>
      </w:rPr>
    </w:lvl>
    <w:lvl w:ilvl="6" w:tplc="D6DC35DE">
      <w:numFmt w:val="bullet"/>
      <w:lvlText w:val="•"/>
      <w:lvlJc w:val="left"/>
      <w:pPr>
        <w:ind w:left="6096" w:hanging="496"/>
      </w:pPr>
      <w:rPr>
        <w:rFonts w:hint="default"/>
      </w:rPr>
    </w:lvl>
    <w:lvl w:ilvl="7" w:tplc="102A897E">
      <w:numFmt w:val="bullet"/>
      <w:lvlText w:val="•"/>
      <w:lvlJc w:val="left"/>
      <w:pPr>
        <w:ind w:left="6772" w:hanging="496"/>
      </w:pPr>
      <w:rPr>
        <w:rFonts w:hint="default"/>
      </w:rPr>
    </w:lvl>
    <w:lvl w:ilvl="8" w:tplc="2758A708">
      <w:numFmt w:val="bullet"/>
      <w:lvlText w:val="•"/>
      <w:lvlJc w:val="left"/>
      <w:pPr>
        <w:ind w:left="7448" w:hanging="496"/>
      </w:pPr>
      <w:rPr>
        <w:rFonts w:hint="default"/>
      </w:rPr>
    </w:lvl>
  </w:abstractNum>
  <w:num w:numId="1" w16cid:durableId="332686727">
    <w:abstractNumId w:val="43"/>
  </w:num>
  <w:num w:numId="2" w16cid:durableId="994993553">
    <w:abstractNumId w:val="54"/>
  </w:num>
  <w:num w:numId="3" w16cid:durableId="1976179610">
    <w:abstractNumId w:val="16"/>
  </w:num>
  <w:num w:numId="4" w16cid:durableId="1494175740">
    <w:abstractNumId w:val="42"/>
  </w:num>
  <w:num w:numId="5" w16cid:durableId="1866358548">
    <w:abstractNumId w:val="39"/>
  </w:num>
  <w:num w:numId="6" w16cid:durableId="1608342678">
    <w:abstractNumId w:val="51"/>
  </w:num>
  <w:num w:numId="7" w16cid:durableId="675965596">
    <w:abstractNumId w:val="50"/>
  </w:num>
  <w:num w:numId="8" w16cid:durableId="2078745669">
    <w:abstractNumId w:val="18"/>
  </w:num>
  <w:num w:numId="9" w16cid:durableId="1928689489">
    <w:abstractNumId w:val="19"/>
  </w:num>
  <w:num w:numId="10" w16cid:durableId="1658419517">
    <w:abstractNumId w:val="8"/>
  </w:num>
  <w:num w:numId="11" w16cid:durableId="480004210">
    <w:abstractNumId w:val="33"/>
  </w:num>
  <w:num w:numId="12" w16cid:durableId="617836497">
    <w:abstractNumId w:val="35"/>
  </w:num>
  <w:num w:numId="13" w16cid:durableId="1449467017">
    <w:abstractNumId w:val="26"/>
  </w:num>
  <w:num w:numId="14" w16cid:durableId="1152019762">
    <w:abstractNumId w:val="47"/>
  </w:num>
  <w:num w:numId="15" w16cid:durableId="1859737163">
    <w:abstractNumId w:val="3"/>
  </w:num>
  <w:num w:numId="16" w16cid:durableId="1793865738">
    <w:abstractNumId w:val="21"/>
  </w:num>
  <w:num w:numId="17" w16cid:durableId="509881413">
    <w:abstractNumId w:val="4"/>
  </w:num>
  <w:num w:numId="18" w16cid:durableId="21785417">
    <w:abstractNumId w:val="31"/>
  </w:num>
  <w:num w:numId="19" w16cid:durableId="473261061">
    <w:abstractNumId w:val="46"/>
  </w:num>
  <w:num w:numId="20" w16cid:durableId="476073117">
    <w:abstractNumId w:val="53"/>
  </w:num>
  <w:num w:numId="21" w16cid:durableId="1337147961">
    <w:abstractNumId w:val="11"/>
  </w:num>
  <w:num w:numId="22" w16cid:durableId="1210340155">
    <w:abstractNumId w:val="45"/>
  </w:num>
  <w:num w:numId="23" w16cid:durableId="1508906275">
    <w:abstractNumId w:val="10"/>
  </w:num>
  <w:num w:numId="24" w16cid:durableId="1933466998">
    <w:abstractNumId w:val="17"/>
  </w:num>
  <w:num w:numId="25" w16cid:durableId="1128354087">
    <w:abstractNumId w:val="1"/>
  </w:num>
  <w:num w:numId="26" w16cid:durableId="1958246740">
    <w:abstractNumId w:val="25"/>
  </w:num>
  <w:num w:numId="27" w16cid:durableId="1361861349">
    <w:abstractNumId w:val="28"/>
  </w:num>
  <w:num w:numId="28" w16cid:durableId="180972628">
    <w:abstractNumId w:val="0"/>
  </w:num>
  <w:num w:numId="29" w16cid:durableId="1905213749">
    <w:abstractNumId w:val="36"/>
  </w:num>
  <w:num w:numId="30" w16cid:durableId="2117289374">
    <w:abstractNumId w:val="5"/>
  </w:num>
  <w:num w:numId="31" w16cid:durableId="1118841338">
    <w:abstractNumId w:val="32"/>
  </w:num>
  <w:num w:numId="32" w16cid:durableId="557983465">
    <w:abstractNumId w:val="24"/>
  </w:num>
  <w:num w:numId="33" w16cid:durableId="1498425156">
    <w:abstractNumId w:val="41"/>
  </w:num>
  <w:num w:numId="34" w16cid:durableId="249237978">
    <w:abstractNumId w:val="29"/>
  </w:num>
  <w:num w:numId="35" w16cid:durableId="1745107750">
    <w:abstractNumId w:val="20"/>
  </w:num>
  <w:num w:numId="36" w16cid:durableId="217328370">
    <w:abstractNumId w:val="48"/>
  </w:num>
  <w:num w:numId="37" w16cid:durableId="120389665">
    <w:abstractNumId w:val="12"/>
  </w:num>
  <w:num w:numId="38" w16cid:durableId="1838156577">
    <w:abstractNumId w:val="22"/>
  </w:num>
  <w:num w:numId="39" w16cid:durableId="1435902066">
    <w:abstractNumId w:val="30"/>
  </w:num>
  <w:num w:numId="40" w16cid:durableId="2103718461">
    <w:abstractNumId w:val="37"/>
  </w:num>
  <w:num w:numId="41" w16cid:durableId="1375615749">
    <w:abstractNumId w:val="6"/>
  </w:num>
  <w:num w:numId="42" w16cid:durableId="228851880">
    <w:abstractNumId w:val="27"/>
  </w:num>
  <w:num w:numId="43" w16cid:durableId="87194805">
    <w:abstractNumId w:val="7"/>
  </w:num>
  <w:num w:numId="44" w16cid:durableId="1210730689">
    <w:abstractNumId w:val="49"/>
  </w:num>
  <w:num w:numId="45" w16cid:durableId="2043556591">
    <w:abstractNumId w:val="23"/>
  </w:num>
  <w:num w:numId="46" w16cid:durableId="1736659785">
    <w:abstractNumId w:val="40"/>
  </w:num>
  <w:num w:numId="47" w16cid:durableId="1802067417">
    <w:abstractNumId w:val="14"/>
  </w:num>
  <w:num w:numId="48" w16cid:durableId="1455252223">
    <w:abstractNumId w:val="13"/>
  </w:num>
  <w:num w:numId="49" w16cid:durableId="1393387762">
    <w:abstractNumId w:val="38"/>
  </w:num>
  <w:num w:numId="50" w16cid:durableId="561983723">
    <w:abstractNumId w:val="9"/>
  </w:num>
  <w:num w:numId="51" w16cid:durableId="1642731900">
    <w:abstractNumId w:val="52"/>
  </w:num>
  <w:num w:numId="52" w16cid:durableId="1465999199">
    <w:abstractNumId w:val="44"/>
  </w:num>
  <w:num w:numId="53" w16cid:durableId="1073814563">
    <w:abstractNumId w:val="15"/>
  </w:num>
  <w:num w:numId="54" w16cid:durableId="1499692122">
    <w:abstractNumId w:val="34"/>
  </w:num>
  <w:num w:numId="55" w16cid:durableId="2049139553">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0CD"/>
    <w:rsid w:val="00004CD3"/>
    <w:rsid w:val="000059BC"/>
    <w:rsid w:val="000259D6"/>
    <w:rsid w:val="000261F3"/>
    <w:rsid w:val="000507C8"/>
    <w:rsid w:val="00052066"/>
    <w:rsid w:val="0005437D"/>
    <w:rsid w:val="00060619"/>
    <w:rsid w:val="000770F3"/>
    <w:rsid w:val="00085210"/>
    <w:rsid w:val="00085A43"/>
    <w:rsid w:val="00090096"/>
    <w:rsid w:val="000978DA"/>
    <w:rsid w:val="000C0785"/>
    <w:rsid w:val="000C07B6"/>
    <w:rsid w:val="000C1F43"/>
    <w:rsid w:val="000C3931"/>
    <w:rsid w:val="000D14CC"/>
    <w:rsid w:val="000E25FE"/>
    <w:rsid w:val="000E4E13"/>
    <w:rsid w:val="000E608E"/>
    <w:rsid w:val="000E6BA0"/>
    <w:rsid w:val="000F5A2D"/>
    <w:rsid w:val="000F62FF"/>
    <w:rsid w:val="00103700"/>
    <w:rsid w:val="00103F1A"/>
    <w:rsid w:val="001200FB"/>
    <w:rsid w:val="00120524"/>
    <w:rsid w:val="00130A9A"/>
    <w:rsid w:val="00130C4A"/>
    <w:rsid w:val="0013263C"/>
    <w:rsid w:val="00164B58"/>
    <w:rsid w:val="00165098"/>
    <w:rsid w:val="00172F34"/>
    <w:rsid w:val="00180B26"/>
    <w:rsid w:val="00185AFE"/>
    <w:rsid w:val="00187CBD"/>
    <w:rsid w:val="0019070D"/>
    <w:rsid w:val="00192741"/>
    <w:rsid w:val="00195888"/>
    <w:rsid w:val="001A6256"/>
    <w:rsid w:val="001A7CF6"/>
    <w:rsid w:val="001B6F1E"/>
    <w:rsid w:val="001C0781"/>
    <w:rsid w:val="001C6A65"/>
    <w:rsid w:val="001D036D"/>
    <w:rsid w:val="001D0606"/>
    <w:rsid w:val="001D1B19"/>
    <w:rsid w:val="001D2BF2"/>
    <w:rsid w:val="001D6B3F"/>
    <w:rsid w:val="001E0458"/>
    <w:rsid w:val="001E0BD3"/>
    <w:rsid w:val="001E34D1"/>
    <w:rsid w:val="001F3312"/>
    <w:rsid w:val="002046B8"/>
    <w:rsid w:val="00262F59"/>
    <w:rsid w:val="00266D3B"/>
    <w:rsid w:val="00267815"/>
    <w:rsid w:val="00271BD6"/>
    <w:rsid w:val="00273D8A"/>
    <w:rsid w:val="002867D9"/>
    <w:rsid w:val="0028769F"/>
    <w:rsid w:val="002C1124"/>
    <w:rsid w:val="002C3D7B"/>
    <w:rsid w:val="002C3DC8"/>
    <w:rsid w:val="002F24E0"/>
    <w:rsid w:val="00301C03"/>
    <w:rsid w:val="00306E1B"/>
    <w:rsid w:val="00323A76"/>
    <w:rsid w:val="00324C7E"/>
    <w:rsid w:val="00330E33"/>
    <w:rsid w:val="00334C7C"/>
    <w:rsid w:val="003413D2"/>
    <w:rsid w:val="00341875"/>
    <w:rsid w:val="003437E7"/>
    <w:rsid w:val="00343A15"/>
    <w:rsid w:val="003448A3"/>
    <w:rsid w:val="003525FB"/>
    <w:rsid w:val="00362076"/>
    <w:rsid w:val="0036565B"/>
    <w:rsid w:val="00377B5A"/>
    <w:rsid w:val="00380E5B"/>
    <w:rsid w:val="0038514E"/>
    <w:rsid w:val="00390890"/>
    <w:rsid w:val="00390D19"/>
    <w:rsid w:val="00394810"/>
    <w:rsid w:val="003B2FF6"/>
    <w:rsid w:val="003D5ECF"/>
    <w:rsid w:val="003E2AAF"/>
    <w:rsid w:val="003E5F86"/>
    <w:rsid w:val="003F11FC"/>
    <w:rsid w:val="003F29B7"/>
    <w:rsid w:val="003F3D37"/>
    <w:rsid w:val="003F6C1E"/>
    <w:rsid w:val="004001A7"/>
    <w:rsid w:val="004132EF"/>
    <w:rsid w:val="00421FB2"/>
    <w:rsid w:val="00430D9B"/>
    <w:rsid w:val="00436FA0"/>
    <w:rsid w:val="00451169"/>
    <w:rsid w:val="004602B4"/>
    <w:rsid w:val="00473AA3"/>
    <w:rsid w:val="00474E8A"/>
    <w:rsid w:val="004758DC"/>
    <w:rsid w:val="00476EC5"/>
    <w:rsid w:val="00480B5C"/>
    <w:rsid w:val="00482707"/>
    <w:rsid w:val="004871D1"/>
    <w:rsid w:val="00487F22"/>
    <w:rsid w:val="00491BEF"/>
    <w:rsid w:val="004975D7"/>
    <w:rsid w:val="004B33E2"/>
    <w:rsid w:val="004C17DC"/>
    <w:rsid w:val="004C468E"/>
    <w:rsid w:val="004C7C3C"/>
    <w:rsid w:val="004D5DFC"/>
    <w:rsid w:val="005007A1"/>
    <w:rsid w:val="0051249E"/>
    <w:rsid w:val="00512ED8"/>
    <w:rsid w:val="00515998"/>
    <w:rsid w:val="005220F1"/>
    <w:rsid w:val="00527666"/>
    <w:rsid w:val="005310BA"/>
    <w:rsid w:val="0053154D"/>
    <w:rsid w:val="00532873"/>
    <w:rsid w:val="00535426"/>
    <w:rsid w:val="00543EC1"/>
    <w:rsid w:val="00546397"/>
    <w:rsid w:val="00547312"/>
    <w:rsid w:val="00550B7E"/>
    <w:rsid w:val="005516F4"/>
    <w:rsid w:val="005675E5"/>
    <w:rsid w:val="0057744C"/>
    <w:rsid w:val="00595E90"/>
    <w:rsid w:val="005A6A05"/>
    <w:rsid w:val="005B31BE"/>
    <w:rsid w:val="005D7BC4"/>
    <w:rsid w:val="005E3DC0"/>
    <w:rsid w:val="005E703E"/>
    <w:rsid w:val="00603A5C"/>
    <w:rsid w:val="006049E2"/>
    <w:rsid w:val="00605886"/>
    <w:rsid w:val="00613B2F"/>
    <w:rsid w:val="006149E6"/>
    <w:rsid w:val="00621C6B"/>
    <w:rsid w:val="006256F8"/>
    <w:rsid w:val="006302E4"/>
    <w:rsid w:val="006318AB"/>
    <w:rsid w:val="00641316"/>
    <w:rsid w:val="00652F15"/>
    <w:rsid w:val="00673581"/>
    <w:rsid w:val="00677AF1"/>
    <w:rsid w:val="006A1BA6"/>
    <w:rsid w:val="006B6220"/>
    <w:rsid w:val="006C1434"/>
    <w:rsid w:val="006C1AA3"/>
    <w:rsid w:val="006D3DE5"/>
    <w:rsid w:val="006D568F"/>
    <w:rsid w:val="007009E5"/>
    <w:rsid w:val="00701BDE"/>
    <w:rsid w:val="00723652"/>
    <w:rsid w:val="00733084"/>
    <w:rsid w:val="00752BB4"/>
    <w:rsid w:val="0075466D"/>
    <w:rsid w:val="007571DB"/>
    <w:rsid w:val="00764D2D"/>
    <w:rsid w:val="00764E70"/>
    <w:rsid w:val="00770535"/>
    <w:rsid w:val="00781FFB"/>
    <w:rsid w:val="00783B1A"/>
    <w:rsid w:val="007906AC"/>
    <w:rsid w:val="00794880"/>
    <w:rsid w:val="00795056"/>
    <w:rsid w:val="00795D6F"/>
    <w:rsid w:val="007975D6"/>
    <w:rsid w:val="00797879"/>
    <w:rsid w:val="007A00D1"/>
    <w:rsid w:val="007A1535"/>
    <w:rsid w:val="007C1506"/>
    <w:rsid w:val="007C2B76"/>
    <w:rsid w:val="007C4A31"/>
    <w:rsid w:val="007D6120"/>
    <w:rsid w:val="007E4AE9"/>
    <w:rsid w:val="008001E6"/>
    <w:rsid w:val="008017C3"/>
    <w:rsid w:val="00804C70"/>
    <w:rsid w:val="00810292"/>
    <w:rsid w:val="00824373"/>
    <w:rsid w:val="00833C55"/>
    <w:rsid w:val="00835666"/>
    <w:rsid w:val="0083791E"/>
    <w:rsid w:val="008429CB"/>
    <w:rsid w:val="008433DB"/>
    <w:rsid w:val="00854C12"/>
    <w:rsid w:val="0086457E"/>
    <w:rsid w:val="00867CDD"/>
    <w:rsid w:val="00880C19"/>
    <w:rsid w:val="00885FD7"/>
    <w:rsid w:val="008A7D72"/>
    <w:rsid w:val="008B06BC"/>
    <w:rsid w:val="008C7DFD"/>
    <w:rsid w:val="008F298C"/>
    <w:rsid w:val="00901D29"/>
    <w:rsid w:val="0090214B"/>
    <w:rsid w:val="009109D6"/>
    <w:rsid w:val="009129DE"/>
    <w:rsid w:val="0091332C"/>
    <w:rsid w:val="009333FA"/>
    <w:rsid w:val="0094085C"/>
    <w:rsid w:val="0094400D"/>
    <w:rsid w:val="00956F57"/>
    <w:rsid w:val="00971BCF"/>
    <w:rsid w:val="0098096A"/>
    <w:rsid w:val="009825CC"/>
    <w:rsid w:val="00986613"/>
    <w:rsid w:val="00990982"/>
    <w:rsid w:val="009910CD"/>
    <w:rsid w:val="009933B8"/>
    <w:rsid w:val="009A333D"/>
    <w:rsid w:val="009A3610"/>
    <w:rsid w:val="009A78B1"/>
    <w:rsid w:val="009B4A63"/>
    <w:rsid w:val="009C32E1"/>
    <w:rsid w:val="009D6788"/>
    <w:rsid w:val="009D720B"/>
    <w:rsid w:val="009E1B17"/>
    <w:rsid w:val="009E658D"/>
    <w:rsid w:val="009F1ECF"/>
    <w:rsid w:val="009F1FDE"/>
    <w:rsid w:val="009F430B"/>
    <w:rsid w:val="009F6F0A"/>
    <w:rsid w:val="009F773A"/>
    <w:rsid w:val="00A00177"/>
    <w:rsid w:val="00A01B9B"/>
    <w:rsid w:val="00A03A9B"/>
    <w:rsid w:val="00A134E7"/>
    <w:rsid w:val="00A13599"/>
    <w:rsid w:val="00A16163"/>
    <w:rsid w:val="00A3660B"/>
    <w:rsid w:val="00A4531F"/>
    <w:rsid w:val="00A55ED9"/>
    <w:rsid w:val="00A62CF8"/>
    <w:rsid w:val="00A63170"/>
    <w:rsid w:val="00A65879"/>
    <w:rsid w:val="00A9170A"/>
    <w:rsid w:val="00A93F0A"/>
    <w:rsid w:val="00AA69F5"/>
    <w:rsid w:val="00AB18B1"/>
    <w:rsid w:val="00AC0E62"/>
    <w:rsid w:val="00AC3E44"/>
    <w:rsid w:val="00AD0A99"/>
    <w:rsid w:val="00AD14A8"/>
    <w:rsid w:val="00AD3B33"/>
    <w:rsid w:val="00AD5F56"/>
    <w:rsid w:val="00AE3B68"/>
    <w:rsid w:val="00AF062B"/>
    <w:rsid w:val="00B047FC"/>
    <w:rsid w:val="00B34FEA"/>
    <w:rsid w:val="00B44784"/>
    <w:rsid w:val="00B44AC0"/>
    <w:rsid w:val="00B547C4"/>
    <w:rsid w:val="00B57BE1"/>
    <w:rsid w:val="00B629BE"/>
    <w:rsid w:val="00B64C57"/>
    <w:rsid w:val="00B706F8"/>
    <w:rsid w:val="00B72F05"/>
    <w:rsid w:val="00B73C7C"/>
    <w:rsid w:val="00B92944"/>
    <w:rsid w:val="00B930B6"/>
    <w:rsid w:val="00BB52DF"/>
    <w:rsid w:val="00BC67AF"/>
    <w:rsid w:val="00BD1668"/>
    <w:rsid w:val="00BD498B"/>
    <w:rsid w:val="00BD7A0D"/>
    <w:rsid w:val="00BE09C6"/>
    <w:rsid w:val="00BE0B71"/>
    <w:rsid w:val="00BE16CF"/>
    <w:rsid w:val="00BF6241"/>
    <w:rsid w:val="00BF6613"/>
    <w:rsid w:val="00C14C12"/>
    <w:rsid w:val="00C22470"/>
    <w:rsid w:val="00C42FE7"/>
    <w:rsid w:val="00C6649D"/>
    <w:rsid w:val="00C73E66"/>
    <w:rsid w:val="00C826A0"/>
    <w:rsid w:val="00C9136F"/>
    <w:rsid w:val="00C93EDF"/>
    <w:rsid w:val="00C97952"/>
    <w:rsid w:val="00CA3626"/>
    <w:rsid w:val="00CB01CD"/>
    <w:rsid w:val="00CB4A05"/>
    <w:rsid w:val="00CB6184"/>
    <w:rsid w:val="00CC656B"/>
    <w:rsid w:val="00CD11F5"/>
    <w:rsid w:val="00CD3278"/>
    <w:rsid w:val="00CF6DF3"/>
    <w:rsid w:val="00CF7628"/>
    <w:rsid w:val="00D014A9"/>
    <w:rsid w:val="00D04B99"/>
    <w:rsid w:val="00D05487"/>
    <w:rsid w:val="00D05B49"/>
    <w:rsid w:val="00D0683C"/>
    <w:rsid w:val="00D07C8A"/>
    <w:rsid w:val="00D1074B"/>
    <w:rsid w:val="00D1717B"/>
    <w:rsid w:val="00D239F9"/>
    <w:rsid w:val="00D23EC8"/>
    <w:rsid w:val="00D355CF"/>
    <w:rsid w:val="00D4105A"/>
    <w:rsid w:val="00D471B4"/>
    <w:rsid w:val="00D47803"/>
    <w:rsid w:val="00D50C60"/>
    <w:rsid w:val="00D601C9"/>
    <w:rsid w:val="00D61DAE"/>
    <w:rsid w:val="00D62B20"/>
    <w:rsid w:val="00D75D57"/>
    <w:rsid w:val="00D84068"/>
    <w:rsid w:val="00D91823"/>
    <w:rsid w:val="00D93798"/>
    <w:rsid w:val="00D95048"/>
    <w:rsid w:val="00DA140F"/>
    <w:rsid w:val="00DC48F3"/>
    <w:rsid w:val="00DC715B"/>
    <w:rsid w:val="00DD62EE"/>
    <w:rsid w:val="00DE5140"/>
    <w:rsid w:val="00DE609B"/>
    <w:rsid w:val="00DF5F80"/>
    <w:rsid w:val="00E02F71"/>
    <w:rsid w:val="00E0373C"/>
    <w:rsid w:val="00E038CF"/>
    <w:rsid w:val="00E06FB5"/>
    <w:rsid w:val="00E112E8"/>
    <w:rsid w:val="00E238B4"/>
    <w:rsid w:val="00E25793"/>
    <w:rsid w:val="00E32700"/>
    <w:rsid w:val="00E426D1"/>
    <w:rsid w:val="00E439AA"/>
    <w:rsid w:val="00E44FE8"/>
    <w:rsid w:val="00E510B9"/>
    <w:rsid w:val="00E61C02"/>
    <w:rsid w:val="00E7305A"/>
    <w:rsid w:val="00E80F51"/>
    <w:rsid w:val="00E84432"/>
    <w:rsid w:val="00E84E78"/>
    <w:rsid w:val="00E85794"/>
    <w:rsid w:val="00E871C9"/>
    <w:rsid w:val="00E91E96"/>
    <w:rsid w:val="00E92FB2"/>
    <w:rsid w:val="00E93A6C"/>
    <w:rsid w:val="00E96831"/>
    <w:rsid w:val="00EA1EE3"/>
    <w:rsid w:val="00EA48B6"/>
    <w:rsid w:val="00EB2FD2"/>
    <w:rsid w:val="00EB4AD6"/>
    <w:rsid w:val="00EB729A"/>
    <w:rsid w:val="00EC3E37"/>
    <w:rsid w:val="00EC46B1"/>
    <w:rsid w:val="00EC7E0D"/>
    <w:rsid w:val="00ED074F"/>
    <w:rsid w:val="00ED1338"/>
    <w:rsid w:val="00EE56E8"/>
    <w:rsid w:val="00EF48BA"/>
    <w:rsid w:val="00EF7A8A"/>
    <w:rsid w:val="00F04502"/>
    <w:rsid w:val="00F04EF4"/>
    <w:rsid w:val="00F075E1"/>
    <w:rsid w:val="00F22A8C"/>
    <w:rsid w:val="00F306AA"/>
    <w:rsid w:val="00F36F9E"/>
    <w:rsid w:val="00F372C2"/>
    <w:rsid w:val="00F42C1A"/>
    <w:rsid w:val="00F47C51"/>
    <w:rsid w:val="00F47DE5"/>
    <w:rsid w:val="00F56F14"/>
    <w:rsid w:val="00F5757B"/>
    <w:rsid w:val="00F57EEB"/>
    <w:rsid w:val="00F64D07"/>
    <w:rsid w:val="00F77E52"/>
    <w:rsid w:val="00F86855"/>
    <w:rsid w:val="00F933C5"/>
    <w:rsid w:val="00F93479"/>
    <w:rsid w:val="00F97E6C"/>
    <w:rsid w:val="00FA624D"/>
    <w:rsid w:val="00FA6C31"/>
    <w:rsid w:val="00FB23A8"/>
    <w:rsid w:val="00FB253B"/>
    <w:rsid w:val="00FB555F"/>
    <w:rsid w:val="00FC2690"/>
    <w:rsid w:val="00FD31DE"/>
    <w:rsid w:val="00FD516A"/>
    <w:rsid w:val="00FE39A8"/>
    <w:rsid w:val="00FE5C1C"/>
    <w:rsid w:val="00FF3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59AE8"/>
  <w15:docId w15:val="{D3F0AC3D-8D91-4903-B19A-79B434C6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542" w:right="1771" w:hanging="1"/>
      <w:outlineLvl w:val="0"/>
    </w:pPr>
    <w:rPr>
      <w:b/>
      <w:bCs/>
      <w:sz w:val="40"/>
      <w:szCs w:val="40"/>
    </w:rPr>
  </w:style>
  <w:style w:type="paragraph" w:styleId="Heading2">
    <w:name w:val="heading 2"/>
    <w:basedOn w:val="Normal"/>
    <w:link w:val="Heading2Char"/>
    <w:uiPriority w:val="1"/>
    <w:qFormat/>
    <w:pPr>
      <w:spacing w:before="22"/>
      <w:ind w:left="1326"/>
      <w:outlineLvl w:val="1"/>
    </w:pPr>
    <w:rPr>
      <w:i/>
      <w:sz w:val="28"/>
      <w:szCs w:val="28"/>
    </w:rPr>
  </w:style>
  <w:style w:type="paragraph" w:styleId="Heading3">
    <w:name w:val="heading 3"/>
    <w:basedOn w:val="Normal"/>
    <w:uiPriority w:val="1"/>
    <w:qFormat/>
    <w:pPr>
      <w:jc w:val="center"/>
      <w:outlineLvl w:val="2"/>
    </w:pPr>
    <w:rPr>
      <w:b/>
      <w:bCs/>
      <w:sz w:val="24"/>
      <w:szCs w:val="24"/>
    </w:rPr>
  </w:style>
  <w:style w:type="paragraph" w:styleId="Heading4">
    <w:name w:val="heading 4"/>
    <w:basedOn w:val="Normal"/>
    <w:link w:val="Heading4Char"/>
    <w:uiPriority w:val="1"/>
    <w:qFormat/>
    <w:pPr>
      <w:spacing w:before="81"/>
      <w:ind w:left="1326"/>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81"/>
      <w:ind w:left="2041" w:hanging="175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0683C"/>
    <w:rPr>
      <w:rFonts w:ascii="Tahoma" w:hAnsi="Tahoma" w:cs="Tahoma"/>
      <w:sz w:val="16"/>
      <w:szCs w:val="16"/>
    </w:rPr>
  </w:style>
  <w:style w:type="character" w:customStyle="1" w:styleId="BalloonTextChar">
    <w:name w:val="Balloon Text Char"/>
    <w:basedOn w:val="DefaultParagraphFont"/>
    <w:link w:val="BalloonText"/>
    <w:uiPriority w:val="99"/>
    <w:semiHidden/>
    <w:rsid w:val="00D0683C"/>
    <w:rPr>
      <w:rFonts w:ascii="Tahoma" w:eastAsia="Times New Roman" w:hAnsi="Tahoma" w:cs="Tahoma"/>
      <w:sz w:val="16"/>
      <w:szCs w:val="16"/>
    </w:rPr>
  </w:style>
  <w:style w:type="paragraph" w:styleId="Header">
    <w:name w:val="header"/>
    <w:basedOn w:val="Normal"/>
    <w:link w:val="HeaderChar"/>
    <w:uiPriority w:val="99"/>
    <w:unhideWhenUsed/>
    <w:rsid w:val="00F47DE5"/>
    <w:pPr>
      <w:tabs>
        <w:tab w:val="center" w:pos="4680"/>
        <w:tab w:val="right" w:pos="9360"/>
      </w:tabs>
    </w:pPr>
  </w:style>
  <w:style w:type="character" w:customStyle="1" w:styleId="HeaderChar">
    <w:name w:val="Header Char"/>
    <w:basedOn w:val="DefaultParagraphFont"/>
    <w:link w:val="Header"/>
    <w:uiPriority w:val="99"/>
    <w:rsid w:val="00F47DE5"/>
    <w:rPr>
      <w:rFonts w:ascii="Times New Roman" w:eastAsia="Times New Roman" w:hAnsi="Times New Roman" w:cs="Times New Roman"/>
    </w:rPr>
  </w:style>
  <w:style w:type="paragraph" w:styleId="Footer">
    <w:name w:val="footer"/>
    <w:basedOn w:val="Normal"/>
    <w:link w:val="FooterChar"/>
    <w:uiPriority w:val="99"/>
    <w:unhideWhenUsed/>
    <w:rsid w:val="00F47DE5"/>
    <w:pPr>
      <w:tabs>
        <w:tab w:val="center" w:pos="4680"/>
        <w:tab w:val="right" w:pos="9360"/>
      </w:tabs>
    </w:pPr>
  </w:style>
  <w:style w:type="character" w:customStyle="1" w:styleId="FooterChar">
    <w:name w:val="Footer Char"/>
    <w:basedOn w:val="DefaultParagraphFont"/>
    <w:link w:val="Footer"/>
    <w:uiPriority w:val="99"/>
    <w:rsid w:val="00F47DE5"/>
    <w:rPr>
      <w:rFonts w:ascii="Times New Roman" w:eastAsia="Times New Roman" w:hAnsi="Times New Roman" w:cs="Times New Roman"/>
    </w:rPr>
  </w:style>
  <w:style w:type="character" w:customStyle="1" w:styleId="Heading2Char">
    <w:name w:val="Heading 2 Char"/>
    <w:basedOn w:val="DefaultParagraphFont"/>
    <w:link w:val="Heading2"/>
    <w:uiPriority w:val="1"/>
    <w:rsid w:val="006049E2"/>
    <w:rPr>
      <w:rFonts w:ascii="Times New Roman" w:eastAsia="Times New Roman" w:hAnsi="Times New Roman" w:cs="Times New Roman"/>
      <w:i/>
      <w:sz w:val="28"/>
      <w:szCs w:val="28"/>
    </w:rPr>
  </w:style>
  <w:style w:type="character" w:customStyle="1" w:styleId="Heading4Char">
    <w:name w:val="Heading 4 Char"/>
    <w:basedOn w:val="DefaultParagraphFont"/>
    <w:link w:val="Heading4"/>
    <w:uiPriority w:val="1"/>
    <w:rsid w:val="006049E2"/>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6049E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850F3-8653-4021-89D2-FFA24FB62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60</Pages>
  <Words>21276</Words>
  <Characters>121277</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 Browning</cp:lastModifiedBy>
  <cp:revision>7</cp:revision>
  <cp:lastPrinted>2024-05-16T21:00:00Z</cp:lastPrinted>
  <dcterms:created xsi:type="dcterms:W3CDTF">2024-05-13T17:44:00Z</dcterms:created>
  <dcterms:modified xsi:type="dcterms:W3CDTF">2024-05-16T21:04:00Z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2017-01-30T00:00:00Z</vt:filetime>
  </property>
  <property fmtid="{D5CDD505-2E9C-101B-9397-08002B2CF9AE}" pid="3" name="Creator">
    <vt:lpwstr>XPP</vt:lpwstr>
  </property>
  <property fmtid="{D5CDD505-2E9C-101B-9397-08002B2CF9AE}" pid="4" name="LastSaved">
    <vt:filetime>2017-02-06T00:00:00Z</vt:filetime>
  </property>
</Properties>
</file>